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6C730" w14:textId="77777777" w:rsidR="001E79E6" w:rsidRPr="00AD57E1" w:rsidRDefault="001E79E6" w:rsidP="00AD57E1">
      <w:pPr>
        <w:jc w:val="center"/>
      </w:pPr>
      <w:r>
        <w:rPr>
          <w:rStyle w:val="Strong"/>
          <w:noProof/>
          <w:color w:val="214245"/>
        </w:rPr>
        <w:drawing>
          <wp:inline distT="0" distB="0" distL="0" distR="0" wp14:anchorId="03E91038" wp14:editId="1F1FF5AF">
            <wp:extent cx="2533650" cy="1105726"/>
            <wp:effectExtent l="0" t="0" r="0" b="0"/>
            <wp:docPr id="1" name="Picture 1" descr="C:\Users\herndon\Desktop\Logos\RTF_horizontallo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ndon\Desktop\Logos\RTF_horizontallock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8085" cy="1116390"/>
                    </a:xfrm>
                    <a:prstGeom prst="rect">
                      <a:avLst/>
                    </a:prstGeom>
                    <a:noFill/>
                    <a:ln>
                      <a:noFill/>
                    </a:ln>
                  </pic:spPr>
                </pic:pic>
              </a:graphicData>
            </a:graphic>
          </wp:inline>
        </w:drawing>
      </w:r>
    </w:p>
    <w:p w14:paraId="6BD43B4D" w14:textId="77777777" w:rsidR="00AD57E1" w:rsidRPr="00AD57E1" w:rsidRDefault="00AD57E1" w:rsidP="00AD57E1"/>
    <w:p w14:paraId="47F3E206" w14:textId="77777777" w:rsidR="00AD57E1" w:rsidRDefault="00AD57E1" w:rsidP="00AD57E1"/>
    <w:p w14:paraId="7232CD21" w14:textId="77777777" w:rsidR="00AD57E1" w:rsidRDefault="00AD57E1" w:rsidP="00AD57E1"/>
    <w:p w14:paraId="21F459BC" w14:textId="77777777" w:rsidR="00AD57E1" w:rsidRDefault="00AD57E1" w:rsidP="00AD57E1"/>
    <w:p w14:paraId="362346C2" w14:textId="77777777" w:rsidR="00AD57E1" w:rsidRPr="00AD57E1" w:rsidRDefault="00AD57E1" w:rsidP="00AD57E1"/>
    <w:p w14:paraId="025E4291" w14:textId="77777777" w:rsidR="00AD57E1" w:rsidRPr="00AD57E1" w:rsidRDefault="005F536E" w:rsidP="00AD57E1">
      <w:pPr>
        <w:pStyle w:val="Title"/>
      </w:pPr>
      <w:r>
        <w:t xml:space="preserve">Regional Technical Forum </w:t>
      </w:r>
      <w:r>
        <w:br/>
        <w:t>2020-2024 Business Plan</w:t>
      </w:r>
    </w:p>
    <w:p w14:paraId="752C7017" w14:textId="77777777" w:rsidR="00AD57E1" w:rsidRPr="00AD57E1" w:rsidRDefault="00AD57E1" w:rsidP="00AD57E1"/>
    <w:p w14:paraId="3C5BF33F" w14:textId="7CF982B5" w:rsidR="00345BB9" w:rsidRPr="00345BB9" w:rsidRDefault="00345BB9" w:rsidP="00345BB9">
      <w:pPr>
        <w:pStyle w:val="Subtitle"/>
      </w:pPr>
      <w:r>
        <w:t>Updated for the 2021 Work Plan</w:t>
      </w:r>
      <w:r>
        <w:br/>
      </w:r>
      <w:r w:rsidR="00D53287">
        <w:t>Proposed August 1</w:t>
      </w:r>
      <w:r>
        <w:t>, 2020</w:t>
      </w:r>
    </w:p>
    <w:p w14:paraId="3FD80DFC" w14:textId="77777777" w:rsidR="0021726B" w:rsidRDefault="0021726B" w:rsidP="00B75EDA"/>
    <w:p w14:paraId="5E9D4A05" w14:textId="77777777" w:rsidR="00AD57E1" w:rsidRDefault="00AD57E1">
      <w:pPr>
        <w:rPr>
          <w:rFonts w:ascii="Georgia" w:eastAsiaTheme="majorEastAsia" w:hAnsi="Georgia" w:cstheme="majorBidi"/>
          <w:color w:val="336E7E"/>
          <w:sz w:val="32"/>
          <w:szCs w:val="32"/>
        </w:rPr>
      </w:pPr>
      <w:r>
        <w:br w:type="page"/>
      </w:r>
    </w:p>
    <w:p w14:paraId="532D9AF9" w14:textId="77777777" w:rsidR="00B75EDA" w:rsidRPr="00CC5B2F" w:rsidRDefault="00AD57E1" w:rsidP="00AD57E1">
      <w:pPr>
        <w:pStyle w:val="Heading1"/>
      </w:pPr>
      <w:r>
        <w:lastRenderedPageBreak/>
        <w:t>Introduction</w:t>
      </w:r>
    </w:p>
    <w:p w14:paraId="179F37A6" w14:textId="5FF21CEE" w:rsidR="007215FC" w:rsidRDefault="005F536E" w:rsidP="00594F56">
      <w:r>
        <w:t>The Regional Technical Forum (RTF) is a</w:t>
      </w:r>
      <w:r w:rsidR="007215FC">
        <w:t xml:space="preserve">n </w:t>
      </w:r>
      <w:r>
        <w:t xml:space="preserve">advisory committee to the Northwest Power and Conservation Council (Council). </w:t>
      </w:r>
      <w:r w:rsidR="007165B9">
        <w:t>The RTF meets monthly to review analysis and make decisions on methodologies for estimating energy efficiency savings and demand response impacts. The RTF is supported by</w:t>
      </w:r>
      <w:r w:rsidR="00555863">
        <w:t xml:space="preserve"> Council</w:t>
      </w:r>
      <w:r w:rsidR="007165B9">
        <w:t xml:space="preserve"> staff and </w:t>
      </w:r>
      <w:r w:rsidR="00555863">
        <w:t xml:space="preserve">outside </w:t>
      </w:r>
      <w:r w:rsidR="007165B9">
        <w:t xml:space="preserve">contractors that manage the work flow and conduct technical analysis. </w:t>
      </w:r>
      <w:r w:rsidR="007215FC">
        <w:t xml:space="preserve">This document describes the RTF’s role, funding, operations and staffing, and </w:t>
      </w:r>
      <w:r w:rsidR="00555863">
        <w:t xml:space="preserve">planned </w:t>
      </w:r>
      <w:r w:rsidR="007215FC">
        <w:t>activities for the 2020-2024 period.</w:t>
      </w:r>
      <w:r w:rsidR="00345BB9">
        <w:t xml:space="preserve"> It has been updated to reflect refinement in the business plan based on the work completed in 2020 and the anticipated needs for 2021.  </w:t>
      </w:r>
    </w:p>
    <w:p w14:paraId="52269214" w14:textId="77777777" w:rsidR="007215FC" w:rsidRDefault="007215FC" w:rsidP="007215FC">
      <w:pPr>
        <w:pStyle w:val="Heading1"/>
      </w:pPr>
      <w:r>
        <w:t>Role of the RTF</w:t>
      </w:r>
    </w:p>
    <w:p w14:paraId="2CBEDAA4" w14:textId="17A63718" w:rsidR="00594F56" w:rsidRDefault="007215FC" w:rsidP="006F31D0">
      <w:r>
        <w:t>The RTF was formed in 1999 as an advisory committee to the Council in response to a directive from Congress (1996) and the 199</w:t>
      </w:r>
      <w:r w:rsidR="003B17C3">
        <w:t>6</w:t>
      </w:r>
      <w:r>
        <w:t xml:space="preserve"> Comprehensive Review of the Northwest Energy System. The primary roles of the RTF have been, and continue to be:</w:t>
      </w:r>
    </w:p>
    <w:p w14:paraId="30D68318" w14:textId="77777777" w:rsidR="007215FC" w:rsidRDefault="007215FC" w:rsidP="007215FC">
      <w:pPr>
        <w:pStyle w:val="ListParagraph"/>
        <w:numPr>
          <w:ilvl w:val="0"/>
          <w:numId w:val="3"/>
        </w:numPr>
      </w:pPr>
      <w:r>
        <w:t>Developing and maintaining a readily accessible list of eligible conservation resources, the estimated lifetime costs and savings associated with those resources, and the estimated regional power system value associated with those savings</w:t>
      </w:r>
      <w:r w:rsidR="00044BF0">
        <w:t>;</w:t>
      </w:r>
    </w:p>
    <w:p w14:paraId="30700E6E" w14:textId="77777777" w:rsidR="007215FC" w:rsidRDefault="007215FC" w:rsidP="007215FC">
      <w:pPr>
        <w:pStyle w:val="ListParagraph"/>
        <w:numPr>
          <w:ilvl w:val="0"/>
          <w:numId w:val="3"/>
        </w:numPr>
      </w:pPr>
      <w:r>
        <w:t>Establishing a process for updating the list of eligible conservation resources as technology and standard practices change, and an appeals process through which utilities, trade allies, and customers can demonstrate that different savings and value estimates should apply;</w:t>
      </w:r>
    </w:p>
    <w:p w14:paraId="55E65C37" w14:textId="77777777" w:rsidR="007215FC" w:rsidRDefault="007215FC" w:rsidP="007215FC">
      <w:pPr>
        <w:pStyle w:val="ListParagraph"/>
        <w:numPr>
          <w:ilvl w:val="0"/>
          <w:numId w:val="3"/>
        </w:numPr>
      </w:pPr>
      <w:r>
        <w:t xml:space="preserve">Developing a set of protocols by which the savings and system value of conservation resources should be estimated with a process for applying the protocols to </w:t>
      </w:r>
      <w:r w:rsidR="00044BF0">
        <w:t>existing</w:t>
      </w:r>
      <w:r>
        <w:t xml:space="preserve"> or new measures</w:t>
      </w:r>
      <w:r w:rsidR="00044BF0">
        <w:t>;</w:t>
      </w:r>
    </w:p>
    <w:p w14:paraId="016C840C" w14:textId="77777777" w:rsidR="007215FC" w:rsidRDefault="00044BF0" w:rsidP="007215FC">
      <w:pPr>
        <w:pStyle w:val="ListParagraph"/>
        <w:numPr>
          <w:ilvl w:val="0"/>
          <w:numId w:val="3"/>
        </w:numPr>
      </w:pPr>
      <w:r>
        <w:t>Assisting</w:t>
      </w:r>
      <w:r w:rsidR="007215FC">
        <w:t xml:space="preserve"> the Council in </w:t>
      </w:r>
      <w:r>
        <w:t>assessing</w:t>
      </w:r>
      <w:r w:rsidR="007215FC">
        <w:t xml:space="preserve">: 1) the current performance, costs and </w:t>
      </w:r>
      <w:r>
        <w:t>availably</w:t>
      </w:r>
      <w:r w:rsidR="007215FC">
        <w:t xml:space="preserve"> of new conservation technologies and </w:t>
      </w:r>
      <w:r>
        <w:t>measures</w:t>
      </w:r>
      <w:r w:rsidR="007215FC">
        <w:t>; 2) technology development trends; and 3) the effect of these trends on the future performance, cost and availability of new conservation resources;</w:t>
      </w:r>
    </w:p>
    <w:p w14:paraId="3B128093" w14:textId="77777777" w:rsidR="007215FC" w:rsidRDefault="007215FC" w:rsidP="007215FC">
      <w:pPr>
        <w:pStyle w:val="ListParagraph"/>
        <w:numPr>
          <w:ilvl w:val="0"/>
          <w:numId w:val="3"/>
        </w:numPr>
      </w:pPr>
      <w:r>
        <w:t xml:space="preserve">Tracking regional progress toward the achievement of the region’s conservation targets by </w:t>
      </w:r>
      <w:r w:rsidR="00044BF0">
        <w:t>collecting</w:t>
      </w:r>
      <w:r>
        <w:t xml:space="preserve"> and reporting on regional </w:t>
      </w:r>
      <w:r w:rsidR="00044BF0">
        <w:t>research</w:t>
      </w:r>
      <w:r>
        <w:t xml:space="preserve"> findings and energy savings annually.</w:t>
      </w:r>
    </w:p>
    <w:p w14:paraId="4FDB546E" w14:textId="77777777" w:rsidR="00594F56" w:rsidRDefault="00594F56" w:rsidP="00594F56">
      <w:r>
        <w:t xml:space="preserve">For the 2020-2024 funding cycle, the RTF will expand </w:t>
      </w:r>
      <w:r w:rsidR="00044BF0">
        <w:t xml:space="preserve">upon its core </w:t>
      </w:r>
      <w:r w:rsidR="00AC4060">
        <w:t>mission</w:t>
      </w:r>
      <w:r w:rsidR="00044BF0">
        <w:t xml:space="preserve"> to include:</w:t>
      </w:r>
    </w:p>
    <w:p w14:paraId="2C42DAC7" w14:textId="23E50C01" w:rsidR="00044BF0" w:rsidRDefault="00044BF0" w:rsidP="00044BF0">
      <w:pPr>
        <w:pStyle w:val="ListParagraph"/>
        <w:numPr>
          <w:ilvl w:val="0"/>
          <w:numId w:val="4"/>
        </w:numPr>
      </w:pPr>
      <w:r>
        <w:t xml:space="preserve">Developing and maintaining a list of natural gas </w:t>
      </w:r>
      <w:r w:rsidR="003B17C3">
        <w:t xml:space="preserve">and </w:t>
      </w:r>
      <w:r w:rsidR="005B68DD">
        <w:t xml:space="preserve">dual fuel </w:t>
      </w:r>
      <w:r>
        <w:t>energy efficiency resources, including methodologies for estimating lifetime energy savings and costs associated with those resources, and a process for updating those estimates as technology and standard practices change</w:t>
      </w:r>
    </w:p>
    <w:p w14:paraId="1BCFBD77" w14:textId="62BA13CC" w:rsidR="00594F56" w:rsidRDefault="00044BF0" w:rsidP="006F31D0">
      <w:pPr>
        <w:pStyle w:val="ListParagraph"/>
        <w:numPr>
          <w:ilvl w:val="0"/>
          <w:numId w:val="4"/>
        </w:numPr>
      </w:pPr>
      <w:r>
        <w:t>Conduc</w:t>
      </w:r>
      <w:r w:rsidR="00466DA0">
        <w:t>t</w:t>
      </w:r>
      <w:r>
        <w:t>ing technical analysis on technologies that provide both energy efficiency and demand response potential to assist the Council in assessing the technical potential of the technologies</w:t>
      </w:r>
    </w:p>
    <w:p w14:paraId="0BA4486A" w14:textId="77777777" w:rsidR="00594F56" w:rsidRDefault="00594F56" w:rsidP="00044BF0">
      <w:pPr>
        <w:pStyle w:val="Heading1"/>
      </w:pPr>
      <w:r>
        <w:lastRenderedPageBreak/>
        <w:t>Funding</w:t>
      </w:r>
    </w:p>
    <w:p w14:paraId="387AB73E" w14:textId="68F2D23B" w:rsidR="00044BF0" w:rsidRDefault="00044BF0" w:rsidP="00044BF0">
      <w:r>
        <w:t>The RTF is funded by Bonneville, the Energy Trust of Oregon, investor owned utilities, and large generating public utilities in the region.</w:t>
      </w:r>
      <w:r w:rsidR="00FF37B8">
        <w:t xml:space="preserve"> The RTF Policy Advisory Committee (RTF PAC) established funding levels for 2020-2024 based on the planned activities described below in more detail. The proposed funding level for the </w:t>
      </w:r>
      <w:r w:rsidR="00CD3AD5">
        <w:t>five-year</w:t>
      </w:r>
      <w:r w:rsidR="00FF37B8">
        <w:t xml:space="preserve"> period is $9</w:t>
      </w:r>
      <w:r w:rsidR="005B68DD">
        <w:t>,461,300, starting out at $1.8 million in 2020 and increasing annually at 2.5% to account for inflation</w:t>
      </w:r>
      <w:r w:rsidR="00FF37B8">
        <w:t>.</w:t>
      </w:r>
      <w:r w:rsidR="00CC031B">
        <w:t xml:space="preserve"> The five-year </w:t>
      </w:r>
      <w:r w:rsidR="00BA3B08">
        <w:t>funding period provides a level of consistency to ensure long-term goals of the RTF are sufficiently supported, while providing flexibility to meet regional needs on an annual basis.</w:t>
      </w:r>
    </w:p>
    <w:p w14:paraId="56D489DB" w14:textId="3067D527" w:rsidR="00DB7180" w:rsidRDefault="00DB7180" w:rsidP="00DB7180">
      <w:r>
        <w:t>The RTF PAC agreed to use the allocation method developed by the Northwest Energy Efficiency Alliance</w:t>
      </w:r>
      <w:r w:rsidR="00D0546D">
        <w:t xml:space="preserve"> (NEEA)</w:t>
      </w:r>
      <w:r>
        <w:t xml:space="preserve"> for funding. The RTF PAC further agreed to </w:t>
      </w:r>
      <w:r w:rsidR="00BA3B08">
        <w:t xml:space="preserve">the following methodology for sharing costs across the electric and gas utility funds: </w:t>
      </w:r>
    </w:p>
    <w:p w14:paraId="32B98993" w14:textId="77777777" w:rsidR="00BA3B08" w:rsidRDefault="00BA3B08" w:rsidP="00DB7180">
      <w:pPr>
        <w:pStyle w:val="ListParagraph"/>
        <w:numPr>
          <w:ilvl w:val="0"/>
          <w:numId w:val="1"/>
        </w:numPr>
      </w:pPr>
      <w:r>
        <w:t>Electric ratepayer dollars are allocated to work that is intended to solely support electric demand side management programs (ex: electric-only energy efficiency measures and demand response)</w:t>
      </w:r>
    </w:p>
    <w:p w14:paraId="12DF9F47" w14:textId="77777777" w:rsidR="00DB7180" w:rsidRDefault="00BA3B08" w:rsidP="00DB7180">
      <w:pPr>
        <w:pStyle w:val="ListParagraph"/>
        <w:numPr>
          <w:ilvl w:val="0"/>
          <w:numId w:val="1"/>
        </w:numPr>
      </w:pPr>
      <w:r>
        <w:t>Gas ratepayer dollars are allocated to work that is intended to solely support natural gas programs (ex: gas-only efficiency measures)</w:t>
      </w:r>
    </w:p>
    <w:p w14:paraId="27EE1639" w14:textId="77777777" w:rsidR="00BA3B08" w:rsidRDefault="00BA3B08" w:rsidP="00DB7180">
      <w:pPr>
        <w:pStyle w:val="ListParagraph"/>
        <w:numPr>
          <w:ilvl w:val="0"/>
          <w:numId w:val="1"/>
        </w:numPr>
      </w:pPr>
      <w:r>
        <w:t>Costs will be shared for work that is intended to support all ratepayers (ex: dual fuel measures, tool development, and overhead) with 75 percent allocated to electric ratepayer dollars and 25 percent to gas ratepayer dollars</w:t>
      </w:r>
    </w:p>
    <w:p w14:paraId="73D761B8" w14:textId="77777777" w:rsidR="00DB7180" w:rsidRDefault="00BA3B08" w:rsidP="00DB7180">
      <w:pPr>
        <w:ind w:left="60"/>
      </w:pPr>
      <w:r>
        <w:t>The resulting funding shares are as follows:</w:t>
      </w:r>
    </w:p>
    <w:p w14:paraId="28CCC7F5" w14:textId="6B2C15D3" w:rsidR="001D2847" w:rsidRDefault="001D2847" w:rsidP="001D2847">
      <w:pPr>
        <w:pStyle w:val="TableTitle"/>
      </w:pPr>
      <w:r>
        <w:t xml:space="preserve">Table </w:t>
      </w:r>
      <w:r w:rsidR="00D0546D">
        <w:rPr>
          <w:noProof/>
        </w:rPr>
        <w:fldChar w:fldCharType="begin"/>
      </w:r>
      <w:r w:rsidR="00D0546D">
        <w:rPr>
          <w:noProof/>
        </w:rPr>
        <w:instrText xml:space="preserve"> SEQ Table \* ARABIC </w:instrText>
      </w:r>
      <w:r w:rsidR="00D0546D">
        <w:rPr>
          <w:noProof/>
        </w:rPr>
        <w:fldChar w:fldCharType="separate"/>
      </w:r>
      <w:r w:rsidR="003F23EA">
        <w:rPr>
          <w:noProof/>
        </w:rPr>
        <w:t>1</w:t>
      </w:r>
      <w:r w:rsidR="00D0546D">
        <w:rPr>
          <w:noProof/>
        </w:rPr>
        <w:fldChar w:fldCharType="end"/>
      </w:r>
      <w:r>
        <w:t>: Funding Shares and Five-Year Contribution</w:t>
      </w:r>
    </w:p>
    <w:tbl>
      <w:tblPr>
        <w:tblStyle w:val="RTFTabl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05"/>
        <w:gridCol w:w="1800"/>
        <w:gridCol w:w="2070"/>
      </w:tblGrid>
      <w:tr w:rsidR="00C12FD2" w:rsidRPr="00C12FD2" w14:paraId="363070D9" w14:textId="77777777" w:rsidTr="00546EAA">
        <w:trPr>
          <w:cnfStyle w:val="100000000000" w:firstRow="1" w:lastRow="0" w:firstColumn="0" w:lastColumn="0" w:oddVBand="0" w:evenVBand="0" w:oddHBand="0" w:evenHBand="0" w:firstRowFirstColumn="0" w:firstRowLastColumn="0" w:lastRowFirstColumn="0" w:lastRowLastColumn="0"/>
          <w:trHeight w:val="330"/>
        </w:trPr>
        <w:tc>
          <w:tcPr>
            <w:cnfStyle w:val="001000000100" w:firstRow="0" w:lastRow="0" w:firstColumn="1" w:lastColumn="0" w:oddVBand="0" w:evenVBand="0" w:oddHBand="0" w:evenHBand="0" w:firstRowFirstColumn="1" w:firstRowLastColumn="0" w:lastRowFirstColumn="0" w:lastRowLastColumn="0"/>
            <w:tcW w:w="3505" w:type="dxa"/>
            <w:hideMark/>
          </w:tcPr>
          <w:p w14:paraId="531FBC13" w14:textId="77777777" w:rsidR="00C12FD2" w:rsidRPr="00C12FD2" w:rsidRDefault="00C12FD2" w:rsidP="00C12FD2">
            <w:pPr>
              <w:rPr>
                <w:b/>
                <w:sz w:val="18"/>
                <w:szCs w:val="18"/>
              </w:rPr>
            </w:pPr>
            <w:r w:rsidRPr="00C12FD2">
              <w:rPr>
                <w:b/>
                <w:bCs w:val="0"/>
                <w:sz w:val="18"/>
                <w:szCs w:val="18"/>
              </w:rPr>
              <w:t>Organization</w:t>
            </w:r>
          </w:p>
        </w:tc>
        <w:tc>
          <w:tcPr>
            <w:tcW w:w="1800" w:type="dxa"/>
            <w:hideMark/>
          </w:tcPr>
          <w:p w14:paraId="037EF5FB" w14:textId="77777777" w:rsidR="00C12FD2" w:rsidRPr="00C12FD2" w:rsidRDefault="00C12FD2" w:rsidP="00C12FD2">
            <w:pPr>
              <w:cnfStyle w:val="100000000000" w:firstRow="1" w:lastRow="0" w:firstColumn="0" w:lastColumn="0" w:oddVBand="0" w:evenVBand="0" w:oddHBand="0" w:evenHBand="0" w:firstRowFirstColumn="0" w:firstRowLastColumn="0" w:lastRowFirstColumn="0" w:lastRowLastColumn="0"/>
              <w:rPr>
                <w:b/>
                <w:sz w:val="18"/>
                <w:szCs w:val="18"/>
              </w:rPr>
            </w:pPr>
            <w:r w:rsidRPr="00C12FD2">
              <w:rPr>
                <w:b/>
                <w:bCs w:val="0"/>
                <w:sz w:val="18"/>
                <w:szCs w:val="18"/>
              </w:rPr>
              <w:t>Proposed Funding Share</w:t>
            </w:r>
          </w:p>
        </w:tc>
        <w:tc>
          <w:tcPr>
            <w:tcW w:w="2070" w:type="dxa"/>
            <w:hideMark/>
          </w:tcPr>
          <w:p w14:paraId="38AF3FD4" w14:textId="77777777" w:rsidR="00C12FD2" w:rsidRPr="00C12FD2" w:rsidRDefault="00C12FD2" w:rsidP="00C12FD2">
            <w:pPr>
              <w:cnfStyle w:val="100000000000" w:firstRow="1" w:lastRow="0" w:firstColumn="0" w:lastColumn="0" w:oddVBand="0" w:evenVBand="0" w:oddHBand="0" w:evenHBand="0" w:firstRowFirstColumn="0" w:firstRowLastColumn="0" w:lastRowFirstColumn="0" w:lastRowLastColumn="0"/>
              <w:rPr>
                <w:b/>
                <w:sz w:val="18"/>
                <w:szCs w:val="18"/>
              </w:rPr>
            </w:pPr>
            <w:r w:rsidRPr="00C12FD2">
              <w:rPr>
                <w:b/>
                <w:bCs w:val="0"/>
                <w:sz w:val="18"/>
                <w:szCs w:val="18"/>
              </w:rPr>
              <w:t>Total 5-Year Contribution</w:t>
            </w:r>
          </w:p>
        </w:tc>
      </w:tr>
      <w:tr w:rsidR="00D17FDC" w:rsidRPr="00C12FD2" w14:paraId="32743679" w14:textId="77777777" w:rsidTr="00D17F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5" w:type="dxa"/>
            <w:shd w:val="clear" w:color="auto" w:fill="EDE4D5"/>
            <w:noWrap/>
            <w:hideMark/>
          </w:tcPr>
          <w:p w14:paraId="7B65FD96" w14:textId="77777777" w:rsidR="00D17FDC" w:rsidRPr="00C12FD2" w:rsidRDefault="00D17FDC" w:rsidP="00D17FDC">
            <w:pPr>
              <w:rPr>
                <w:sz w:val="18"/>
                <w:szCs w:val="18"/>
              </w:rPr>
            </w:pPr>
            <w:r w:rsidRPr="00C12FD2">
              <w:rPr>
                <w:sz w:val="18"/>
                <w:szCs w:val="18"/>
              </w:rPr>
              <w:t>Bonneville Power Administration</w:t>
            </w:r>
          </w:p>
        </w:tc>
        <w:tc>
          <w:tcPr>
            <w:tcW w:w="1800" w:type="dxa"/>
            <w:shd w:val="clear" w:color="auto" w:fill="EDE4D5"/>
            <w:noWrap/>
          </w:tcPr>
          <w:p w14:paraId="12BE4BA5" w14:textId="64BC72F9"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30.03%</w:t>
            </w:r>
          </w:p>
        </w:tc>
        <w:tc>
          <w:tcPr>
            <w:tcW w:w="2070" w:type="dxa"/>
            <w:shd w:val="clear" w:color="auto" w:fill="EDE4D5"/>
            <w:noWrap/>
          </w:tcPr>
          <w:p w14:paraId="2968BF00" w14:textId="53651159"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 xml:space="preserve">$2,841,100 </w:t>
            </w:r>
          </w:p>
        </w:tc>
      </w:tr>
      <w:tr w:rsidR="00D17FDC" w:rsidRPr="00C12FD2" w14:paraId="10ACF8DD" w14:textId="77777777" w:rsidTr="00D17FD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5" w:type="dxa"/>
            <w:shd w:val="clear" w:color="auto" w:fill="B1CECA"/>
            <w:noWrap/>
            <w:hideMark/>
          </w:tcPr>
          <w:p w14:paraId="2F5A80C5" w14:textId="77777777" w:rsidR="00D17FDC" w:rsidRPr="00C12FD2" w:rsidRDefault="00D17FDC" w:rsidP="00D17FDC">
            <w:pPr>
              <w:rPr>
                <w:sz w:val="18"/>
                <w:szCs w:val="18"/>
              </w:rPr>
            </w:pPr>
            <w:r w:rsidRPr="00C12FD2">
              <w:rPr>
                <w:sz w:val="18"/>
                <w:szCs w:val="18"/>
              </w:rPr>
              <w:t>Energy Trust of Oregon</w:t>
            </w:r>
          </w:p>
        </w:tc>
        <w:tc>
          <w:tcPr>
            <w:tcW w:w="1800" w:type="dxa"/>
            <w:shd w:val="clear" w:color="auto" w:fill="B1CECA"/>
            <w:noWrap/>
          </w:tcPr>
          <w:p w14:paraId="3E0AE3FA" w14:textId="36F75EE6"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sz w:val="18"/>
                <w:szCs w:val="18"/>
              </w:rPr>
            </w:pPr>
            <w:r w:rsidRPr="00D17FDC">
              <w:rPr>
                <w:color w:val="000000"/>
                <w:sz w:val="18"/>
                <w:szCs w:val="18"/>
              </w:rPr>
              <w:t>22.54%</w:t>
            </w:r>
          </w:p>
        </w:tc>
        <w:tc>
          <w:tcPr>
            <w:tcW w:w="2070" w:type="dxa"/>
            <w:shd w:val="clear" w:color="auto" w:fill="B1CECA"/>
            <w:noWrap/>
          </w:tcPr>
          <w:p w14:paraId="42D8C290" w14:textId="1C9E5E2B"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sz w:val="18"/>
                <w:szCs w:val="18"/>
              </w:rPr>
            </w:pPr>
            <w:r w:rsidRPr="00D17FDC">
              <w:rPr>
                <w:color w:val="000000"/>
                <w:sz w:val="18"/>
                <w:szCs w:val="18"/>
              </w:rPr>
              <w:t xml:space="preserve">$2,132,800 </w:t>
            </w:r>
          </w:p>
        </w:tc>
      </w:tr>
      <w:tr w:rsidR="00D17FDC" w:rsidRPr="00C12FD2" w14:paraId="556122D3" w14:textId="77777777" w:rsidTr="00D17F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5" w:type="dxa"/>
            <w:shd w:val="clear" w:color="auto" w:fill="EDE4D5"/>
            <w:noWrap/>
            <w:hideMark/>
          </w:tcPr>
          <w:p w14:paraId="56D3F500" w14:textId="77777777" w:rsidR="00D17FDC" w:rsidRPr="00C12FD2" w:rsidRDefault="00D17FDC" w:rsidP="00D17FDC">
            <w:pPr>
              <w:rPr>
                <w:sz w:val="18"/>
                <w:szCs w:val="18"/>
              </w:rPr>
            </w:pPr>
            <w:r w:rsidRPr="00C12FD2">
              <w:rPr>
                <w:sz w:val="18"/>
                <w:szCs w:val="18"/>
              </w:rPr>
              <w:t>Puget Sound Energy</w:t>
            </w:r>
          </w:p>
        </w:tc>
        <w:tc>
          <w:tcPr>
            <w:tcW w:w="1800" w:type="dxa"/>
            <w:shd w:val="clear" w:color="auto" w:fill="EDE4D5"/>
            <w:noWrap/>
          </w:tcPr>
          <w:p w14:paraId="1C6ADC1E" w14:textId="6C5E6A72"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18.99%</w:t>
            </w:r>
          </w:p>
        </w:tc>
        <w:tc>
          <w:tcPr>
            <w:tcW w:w="2070" w:type="dxa"/>
            <w:shd w:val="clear" w:color="auto" w:fill="EDE4D5"/>
            <w:noWrap/>
          </w:tcPr>
          <w:p w14:paraId="4A8B1994" w14:textId="51688B6A"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 xml:space="preserve">$1,796,500 </w:t>
            </w:r>
          </w:p>
        </w:tc>
      </w:tr>
      <w:tr w:rsidR="00D17FDC" w:rsidRPr="00C12FD2" w14:paraId="7624D9DD" w14:textId="77777777" w:rsidTr="00D17FD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5" w:type="dxa"/>
            <w:shd w:val="clear" w:color="auto" w:fill="B1CECA"/>
            <w:noWrap/>
            <w:hideMark/>
          </w:tcPr>
          <w:p w14:paraId="0A81CD40" w14:textId="77777777" w:rsidR="00D17FDC" w:rsidRPr="00C12FD2" w:rsidRDefault="00D17FDC" w:rsidP="00D17FDC">
            <w:pPr>
              <w:rPr>
                <w:sz w:val="18"/>
                <w:szCs w:val="18"/>
              </w:rPr>
            </w:pPr>
            <w:r w:rsidRPr="00C12FD2">
              <w:rPr>
                <w:sz w:val="18"/>
                <w:szCs w:val="18"/>
              </w:rPr>
              <w:t>Idaho Power Company</w:t>
            </w:r>
          </w:p>
        </w:tc>
        <w:tc>
          <w:tcPr>
            <w:tcW w:w="1800" w:type="dxa"/>
            <w:shd w:val="clear" w:color="auto" w:fill="B1CECA"/>
            <w:noWrap/>
          </w:tcPr>
          <w:p w14:paraId="30ABC680" w14:textId="4C09605A"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sz w:val="18"/>
                <w:szCs w:val="18"/>
              </w:rPr>
            </w:pPr>
            <w:r w:rsidRPr="00D17FDC">
              <w:rPr>
                <w:color w:val="000000"/>
                <w:sz w:val="18"/>
                <w:szCs w:val="18"/>
              </w:rPr>
              <w:t>7.54%</w:t>
            </w:r>
          </w:p>
        </w:tc>
        <w:tc>
          <w:tcPr>
            <w:tcW w:w="2070" w:type="dxa"/>
            <w:shd w:val="clear" w:color="auto" w:fill="B1CECA"/>
            <w:noWrap/>
          </w:tcPr>
          <w:p w14:paraId="48EAE375" w14:textId="06045B13"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sz w:val="18"/>
                <w:szCs w:val="18"/>
              </w:rPr>
            </w:pPr>
            <w:r w:rsidRPr="00D17FDC">
              <w:rPr>
                <w:color w:val="000000"/>
                <w:sz w:val="18"/>
                <w:szCs w:val="18"/>
              </w:rPr>
              <w:t xml:space="preserve">$713,300 </w:t>
            </w:r>
          </w:p>
        </w:tc>
      </w:tr>
      <w:tr w:rsidR="00D17FDC" w:rsidRPr="00C12FD2" w14:paraId="1B8B54E3" w14:textId="77777777" w:rsidTr="00D17F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5" w:type="dxa"/>
            <w:shd w:val="clear" w:color="auto" w:fill="EDE4D5"/>
            <w:noWrap/>
            <w:hideMark/>
          </w:tcPr>
          <w:p w14:paraId="7EC6F5BB" w14:textId="77777777" w:rsidR="00D17FDC" w:rsidRPr="00C12FD2" w:rsidRDefault="00D17FDC" w:rsidP="00D17FDC">
            <w:pPr>
              <w:rPr>
                <w:sz w:val="18"/>
                <w:szCs w:val="18"/>
              </w:rPr>
            </w:pPr>
            <w:proofErr w:type="spellStart"/>
            <w:r w:rsidRPr="00C12FD2">
              <w:rPr>
                <w:sz w:val="18"/>
                <w:szCs w:val="18"/>
              </w:rPr>
              <w:t>Avista</w:t>
            </w:r>
            <w:proofErr w:type="spellEnd"/>
            <w:r w:rsidRPr="00C12FD2">
              <w:rPr>
                <w:sz w:val="18"/>
                <w:szCs w:val="18"/>
              </w:rPr>
              <w:t xml:space="preserve"> Corporation, Inc</w:t>
            </w:r>
          </w:p>
        </w:tc>
        <w:tc>
          <w:tcPr>
            <w:tcW w:w="1800" w:type="dxa"/>
            <w:shd w:val="clear" w:color="auto" w:fill="EDE4D5"/>
            <w:noWrap/>
          </w:tcPr>
          <w:p w14:paraId="31CE1047" w14:textId="1D95E1B8"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6.78%</w:t>
            </w:r>
          </w:p>
        </w:tc>
        <w:tc>
          <w:tcPr>
            <w:tcW w:w="2070" w:type="dxa"/>
            <w:shd w:val="clear" w:color="auto" w:fill="EDE4D5"/>
            <w:noWrap/>
          </w:tcPr>
          <w:p w14:paraId="49534BAF" w14:textId="11D9444C"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 xml:space="preserve">$641,400 </w:t>
            </w:r>
          </w:p>
        </w:tc>
      </w:tr>
      <w:tr w:rsidR="00D17FDC" w:rsidRPr="00C12FD2" w14:paraId="284E6F71" w14:textId="77777777" w:rsidTr="00D17FD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5" w:type="dxa"/>
            <w:shd w:val="clear" w:color="auto" w:fill="B1CECA"/>
            <w:noWrap/>
          </w:tcPr>
          <w:p w14:paraId="12DCB141" w14:textId="07721F28" w:rsidR="00D17FDC" w:rsidRPr="00C12FD2" w:rsidRDefault="00D17FDC" w:rsidP="00D17FDC">
            <w:pPr>
              <w:rPr>
                <w:sz w:val="18"/>
                <w:szCs w:val="18"/>
              </w:rPr>
            </w:pPr>
            <w:r>
              <w:rPr>
                <w:sz w:val="18"/>
                <w:szCs w:val="18"/>
              </w:rPr>
              <w:t>PacifiCorp (Washington)</w:t>
            </w:r>
          </w:p>
        </w:tc>
        <w:tc>
          <w:tcPr>
            <w:tcW w:w="1800" w:type="dxa"/>
            <w:shd w:val="clear" w:color="auto" w:fill="B1CECA"/>
            <w:noWrap/>
          </w:tcPr>
          <w:p w14:paraId="3788CEE0" w14:textId="3392F657"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bCs/>
                <w:sz w:val="18"/>
                <w:szCs w:val="18"/>
              </w:rPr>
            </w:pPr>
            <w:r w:rsidRPr="00D17FDC">
              <w:rPr>
                <w:color w:val="000000"/>
                <w:sz w:val="18"/>
                <w:szCs w:val="18"/>
              </w:rPr>
              <w:t>2.08%</w:t>
            </w:r>
          </w:p>
        </w:tc>
        <w:tc>
          <w:tcPr>
            <w:tcW w:w="2070" w:type="dxa"/>
            <w:shd w:val="clear" w:color="auto" w:fill="B1CECA"/>
            <w:noWrap/>
          </w:tcPr>
          <w:p w14:paraId="16752D10" w14:textId="2C7AE2E0"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bCs/>
                <w:sz w:val="18"/>
                <w:szCs w:val="18"/>
              </w:rPr>
            </w:pPr>
            <w:r w:rsidRPr="00D17FDC">
              <w:rPr>
                <w:color w:val="000000"/>
                <w:sz w:val="18"/>
                <w:szCs w:val="18"/>
              </w:rPr>
              <w:t xml:space="preserve">$197,200 </w:t>
            </w:r>
          </w:p>
        </w:tc>
      </w:tr>
      <w:tr w:rsidR="00D17FDC" w:rsidRPr="00C12FD2" w14:paraId="78370069" w14:textId="77777777" w:rsidTr="00D17F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5" w:type="dxa"/>
            <w:shd w:val="clear" w:color="auto" w:fill="EDE4D5"/>
            <w:noWrap/>
            <w:hideMark/>
          </w:tcPr>
          <w:p w14:paraId="4B4459E9" w14:textId="46838E2F" w:rsidR="00D17FDC" w:rsidRPr="00C12FD2" w:rsidRDefault="00D17FDC" w:rsidP="00D17FDC">
            <w:pPr>
              <w:rPr>
                <w:sz w:val="18"/>
                <w:szCs w:val="18"/>
              </w:rPr>
            </w:pPr>
            <w:r w:rsidRPr="00C12FD2">
              <w:rPr>
                <w:sz w:val="18"/>
                <w:szCs w:val="18"/>
              </w:rPr>
              <w:t>PacifiCorp (</w:t>
            </w:r>
            <w:r>
              <w:rPr>
                <w:sz w:val="18"/>
                <w:szCs w:val="18"/>
              </w:rPr>
              <w:t>Idaho</w:t>
            </w:r>
            <w:r w:rsidRPr="00C12FD2">
              <w:rPr>
                <w:sz w:val="18"/>
                <w:szCs w:val="18"/>
              </w:rPr>
              <w:t>)</w:t>
            </w:r>
          </w:p>
        </w:tc>
        <w:tc>
          <w:tcPr>
            <w:tcW w:w="1800" w:type="dxa"/>
            <w:shd w:val="clear" w:color="auto" w:fill="EDE4D5"/>
            <w:noWrap/>
          </w:tcPr>
          <w:p w14:paraId="183A2A7F" w14:textId="546EF61E"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1.78%</w:t>
            </w:r>
          </w:p>
        </w:tc>
        <w:tc>
          <w:tcPr>
            <w:tcW w:w="2070" w:type="dxa"/>
            <w:shd w:val="clear" w:color="auto" w:fill="EDE4D5"/>
            <w:noWrap/>
          </w:tcPr>
          <w:p w14:paraId="0A7CFE5E" w14:textId="1D3E594D"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 xml:space="preserve">$168,200 </w:t>
            </w:r>
          </w:p>
        </w:tc>
      </w:tr>
      <w:tr w:rsidR="00D17FDC" w:rsidRPr="00C12FD2" w14:paraId="5D4FF22D" w14:textId="77777777" w:rsidTr="00D17FD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5" w:type="dxa"/>
            <w:shd w:val="clear" w:color="auto" w:fill="B1CECA"/>
            <w:noWrap/>
            <w:hideMark/>
          </w:tcPr>
          <w:p w14:paraId="7117B90C" w14:textId="6D36E754" w:rsidR="00D17FDC" w:rsidRPr="00C12FD2" w:rsidRDefault="00D17FDC" w:rsidP="00D17FDC">
            <w:pPr>
              <w:rPr>
                <w:sz w:val="18"/>
                <w:szCs w:val="18"/>
              </w:rPr>
            </w:pPr>
            <w:proofErr w:type="spellStart"/>
            <w:r w:rsidRPr="00C12FD2">
              <w:rPr>
                <w:sz w:val="18"/>
                <w:szCs w:val="18"/>
              </w:rPr>
              <w:t>North</w:t>
            </w:r>
            <w:r>
              <w:rPr>
                <w:sz w:val="18"/>
                <w:szCs w:val="18"/>
              </w:rPr>
              <w:t>W</w:t>
            </w:r>
            <w:r w:rsidRPr="00C12FD2">
              <w:rPr>
                <w:sz w:val="18"/>
                <w:szCs w:val="18"/>
              </w:rPr>
              <w:t>estern</w:t>
            </w:r>
            <w:proofErr w:type="spellEnd"/>
            <w:r w:rsidRPr="00C12FD2">
              <w:rPr>
                <w:sz w:val="18"/>
                <w:szCs w:val="18"/>
              </w:rPr>
              <w:t xml:space="preserve"> Energy</w:t>
            </w:r>
            <w:r>
              <w:rPr>
                <w:sz w:val="18"/>
                <w:szCs w:val="18"/>
              </w:rPr>
              <w:t>*</w:t>
            </w:r>
          </w:p>
        </w:tc>
        <w:tc>
          <w:tcPr>
            <w:tcW w:w="1800" w:type="dxa"/>
            <w:shd w:val="clear" w:color="auto" w:fill="B1CECA"/>
            <w:noWrap/>
          </w:tcPr>
          <w:p w14:paraId="3622F9C5" w14:textId="467C68BA"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sz w:val="18"/>
                <w:szCs w:val="18"/>
              </w:rPr>
            </w:pPr>
            <w:r w:rsidRPr="00D17FDC">
              <w:rPr>
                <w:color w:val="000000"/>
                <w:sz w:val="18"/>
                <w:szCs w:val="18"/>
              </w:rPr>
              <w:t>1.70%</w:t>
            </w:r>
          </w:p>
        </w:tc>
        <w:tc>
          <w:tcPr>
            <w:tcW w:w="2070" w:type="dxa"/>
            <w:shd w:val="clear" w:color="auto" w:fill="B1CECA"/>
            <w:noWrap/>
          </w:tcPr>
          <w:p w14:paraId="76D4D082" w14:textId="70DCA05D"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sz w:val="18"/>
                <w:szCs w:val="18"/>
              </w:rPr>
            </w:pPr>
            <w:r w:rsidRPr="00D17FDC">
              <w:rPr>
                <w:color w:val="000000"/>
                <w:sz w:val="18"/>
                <w:szCs w:val="18"/>
              </w:rPr>
              <w:t xml:space="preserve">$161,000 </w:t>
            </w:r>
          </w:p>
        </w:tc>
      </w:tr>
      <w:tr w:rsidR="00D17FDC" w:rsidRPr="00C12FD2" w14:paraId="44E4028E" w14:textId="77777777" w:rsidTr="00D17F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5" w:type="dxa"/>
            <w:shd w:val="clear" w:color="auto" w:fill="EDE4D5"/>
            <w:noWrap/>
            <w:hideMark/>
          </w:tcPr>
          <w:p w14:paraId="5F0A985D" w14:textId="77777777" w:rsidR="00D17FDC" w:rsidRPr="00C12FD2" w:rsidRDefault="00D17FDC" w:rsidP="00D17FDC">
            <w:pPr>
              <w:rPr>
                <w:sz w:val="18"/>
                <w:szCs w:val="18"/>
              </w:rPr>
            </w:pPr>
            <w:r w:rsidRPr="00C12FD2">
              <w:rPr>
                <w:sz w:val="18"/>
                <w:szCs w:val="18"/>
              </w:rPr>
              <w:t>Seattle City Light</w:t>
            </w:r>
          </w:p>
        </w:tc>
        <w:tc>
          <w:tcPr>
            <w:tcW w:w="1800" w:type="dxa"/>
            <w:shd w:val="clear" w:color="auto" w:fill="EDE4D5"/>
            <w:noWrap/>
          </w:tcPr>
          <w:p w14:paraId="348416D4" w14:textId="4B357D70"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2.86%</w:t>
            </w:r>
          </w:p>
        </w:tc>
        <w:tc>
          <w:tcPr>
            <w:tcW w:w="2070" w:type="dxa"/>
            <w:shd w:val="clear" w:color="auto" w:fill="EDE4D5"/>
            <w:noWrap/>
          </w:tcPr>
          <w:p w14:paraId="4A6CA433" w14:textId="4E572221"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 xml:space="preserve">$270,800 </w:t>
            </w:r>
          </w:p>
        </w:tc>
      </w:tr>
      <w:tr w:rsidR="00D17FDC" w:rsidRPr="00C12FD2" w14:paraId="761F5C65" w14:textId="77777777" w:rsidTr="00D17FD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5" w:type="dxa"/>
            <w:shd w:val="clear" w:color="auto" w:fill="B1CECA"/>
            <w:noWrap/>
            <w:hideMark/>
          </w:tcPr>
          <w:p w14:paraId="7A42ED1B" w14:textId="77777777" w:rsidR="00D17FDC" w:rsidRPr="00C12FD2" w:rsidRDefault="00D17FDC" w:rsidP="00D17FDC">
            <w:pPr>
              <w:rPr>
                <w:sz w:val="18"/>
                <w:szCs w:val="18"/>
              </w:rPr>
            </w:pPr>
            <w:r w:rsidRPr="00C12FD2">
              <w:rPr>
                <w:sz w:val="18"/>
                <w:szCs w:val="18"/>
              </w:rPr>
              <w:t>PUD No 1 of Clark County</w:t>
            </w:r>
          </w:p>
        </w:tc>
        <w:tc>
          <w:tcPr>
            <w:tcW w:w="1800" w:type="dxa"/>
            <w:shd w:val="clear" w:color="auto" w:fill="B1CECA"/>
            <w:noWrap/>
          </w:tcPr>
          <w:p w14:paraId="748F17BF" w14:textId="2AD9AD74"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sz w:val="18"/>
                <w:szCs w:val="18"/>
              </w:rPr>
            </w:pPr>
            <w:r w:rsidRPr="00D17FDC">
              <w:rPr>
                <w:color w:val="000000"/>
                <w:sz w:val="18"/>
                <w:szCs w:val="18"/>
              </w:rPr>
              <w:t>1.02%</w:t>
            </w:r>
          </w:p>
        </w:tc>
        <w:tc>
          <w:tcPr>
            <w:tcW w:w="2070" w:type="dxa"/>
            <w:shd w:val="clear" w:color="auto" w:fill="B1CECA"/>
            <w:noWrap/>
          </w:tcPr>
          <w:p w14:paraId="308EECCE" w14:textId="48D8ECBB"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sz w:val="18"/>
                <w:szCs w:val="18"/>
              </w:rPr>
            </w:pPr>
            <w:r w:rsidRPr="00D17FDC">
              <w:rPr>
                <w:color w:val="000000"/>
                <w:sz w:val="18"/>
                <w:szCs w:val="18"/>
              </w:rPr>
              <w:t xml:space="preserve">$96,800 </w:t>
            </w:r>
          </w:p>
        </w:tc>
      </w:tr>
      <w:tr w:rsidR="00D17FDC" w:rsidRPr="00C12FD2" w14:paraId="55106B29" w14:textId="77777777" w:rsidTr="00D17F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5" w:type="dxa"/>
            <w:shd w:val="clear" w:color="auto" w:fill="EDE4D5"/>
            <w:noWrap/>
            <w:hideMark/>
          </w:tcPr>
          <w:p w14:paraId="2C288C6C" w14:textId="77777777" w:rsidR="00D17FDC" w:rsidRPr="00C12FD2" w:rsidRDefault="00D17FDC" w:rsidP="00D17FDC">
            <w:pPr>
              <w:rPr>
                <w:sz w:val="18"/>
                <w:szCs w:val="18"/>
              </w:rPr>
            </w:pPr>
            <w:r w:rsidRPr="00C12FD2">
              <w:rPr>
                <w:sz w:val="18"/>
                <w:szCs w:val="18"/>
              </w:rPr>
              <w:t>Tacoma Power</w:t>
            </w:r>
          </w:p>
        </w:tc>
        <w:tc>
          <w:tcPr>
            <w:tcW w:w="1800" w:type="dxa"/>
            <w:shd w:val="clear" w:color="auto" w:fill="EDE4D5"/>
            <w:noWrap/>
          </w:tcPr>
          <w:p w14:paraId="2A9FDD48" w14:textId="5DB73CAF"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0.77%</w:t>
            </w:r>
          </w:p>
        </w:tc>
        <w:tc>
          <w:tcPr>
            <w:tcW w:w="2070" w:type="dxa"/>
            <w:shd w:val="clear" w:color="auto" w:fill="EDE4D5"/>
            <w:noWrap/>
          </w:tcPr>
          <w:p w14:paraId="51F8E906" w14:textId="77B340B3"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 xml:space="preserve">$73,200 </w:t>
            </w:r>
          </w:p>
        </w:tc>
      </w:tr>
      <w:tr w:rsidR="00D17FDC" w:rsidRPr="00C12FD2" w14:paraId="6603A6E8" w14:textId="77777777" w:rsidTr="00D17FD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5" w:type="dxa"/>
            <w:shd w:val="clear" w:color="auto" w:fill="B1CECA"/>
            <w:noWrap/>
            <w:hideMark/>
          </w:tcPr>
          <w:p w14:paraId="71EBF7E1" w14:textId="77777777" w:rsidR="00D17FDC" w:rsidRPr="00C12FD2" w:rsidRDefault="00D17FDC" w:rsidP="00D17FDC">
            <w:pPr>
              <w:rPr>
                <w:sz w:val="18"/>
                <w:szCs w:val="18"/>
              </w:rPr>
            </w:pPr>
            <w:r w:rsidRPr="00C12FD2">
              <w:rPr>
                <w:sz w:val="18"/>
                <w:szCs w:val="18"/>
              </w:rPr>
              <w:t>Snohomish County PUD</w:t>
            </w:r>
          </w:p>
        </w:tc>
        <w:tc>
          <w:tcPr>
            <w:tcW w:w="1800" w:type="dxa"/>
            <w:shd w:val="clear" w:color="auto" w:fill="B1CECA"/>
            <w:noWrap/>
          </w:tcPr>
          <w:p w14:paraId="049179D7" w14:textId="6630ACD5"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sz w:val="18"/>
                <w:szCs w:val="18"/>
              </w:rPr>
            </w:pPr>
            <w:r w:rsidRPr="00D17FDC">
              <w:rPr>
                <w:color w:val="000000"/>
                <w:sz w:val="18"/>
                <w:szCs w:val="18"/>
              </w:rPr>
              <w:t>0.54%</w:t>
            </w:r>
          </w:p>
        </w:tc>
        <w:tc>
          <w:tcPr>
            <w:tcW w:w="2070" w:type="dxa"/>
            <w:shd w:val="clear" w:color="auto" w:fill="B1CECA"/>
            <w:noWrap/>
          </w:tcPr>
          <w:p w14:paraId="5BFBCD66" w14:textId="7477C932"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sz w:val="18"/>
                <w:szCs w:val="18"/>
              </w:rPr>
            </w:pPr>
            <w:r w:rsidRPr="00D17FDC">
              <w:rPr>
                <w:color w:val="000000"/>
                <w:sz w:val="18"/>
                <w:szCs w:val="18"/>
              </w:rPr>
              <w:t xml:space="preserve">$51,400 </w:t>
            </w:r>
          </w:p>
        </w:tc>
      </w:tr>
      <w:tr w:rsidR="00D17FDC" w:rsidRPr="00C12FD2" w14:paraId="127B62E6" w14:textId="77777777" w:rsidTr="00D17F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5" w:type="dxa"/>
            <w:shd w:val="clear" w:color="auto" w:fill="EDE4D5"/>
            <w:noWrap/>
            <w:hideMark/>
          </w:tcPr>
          <w:p w14:paraId="3526FEDA" w14:textId="77777777" w:rsidR="00D17FDC" w:rsidRPr="00C12FD2" w:rsidRDefault="00D17FDC" w:rsidP="00D17FDC">
            <w:pPr>
              <w:rPr>
                <w:sz w:val="18"/>
                <w:szCs w:val="18"/>
              </w:rPr>
            </w:pPr>
            <w:r w:rsidRPr="00C12FD2">
              <w:rPr>
                <w:sz w:val="18"/>
                <w:szCs w:val="18"/>
              </w:rPr>
              <w:t>Eugene Water and Electric</w:t>
            </w:r>
          </w:p>
        </w:tc>
        <w:tc>
          <w:tcPr>
            <w:tcW w:w="1800" w:type="dxa"/>
            <w:shd w:val="clear" w:color="auto" w:fill="EDE4D5"/>
            <w:noWrap/>
          </w:tcPr>
          <w:p w14:paraId="340BD29A" w14:textId="210E78E5"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0.17%</w:t>
            </w:r>
          </w:p>
        </w:tc>
        <w:tc>
          <w:tcPr>
            <w:tcW w:w="2070" w:type="dxa"/>
            <w:shd w:val="clear" w:color="auto" w:fill="EDE4D5"/>
            <w:noWrap/>
          </w:tcPr>
          <w:p w14:paraId="449B3CE1" w14:textId="51120898"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 xml:space="preserve">$16,500 </w:t>
            </w:r>
          </w:p>
        </w:tc>
      </w:tr>
      <w:tr w:rsidR="00D17FDC" w:rsidRPr="00C12FD2" w14:paraId="4BCE6131" w14:textId="77777777" w:rsidTr="00D17FD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5" w:type="dxa"/>
            <w:shd w:val="clear" w:color="auto" w:fill="B1CECA"/>
            <w:noWrap/>
          </w:tcPr>
          <w:p w14:paraId="7653E2DE" w14:textId="4B1FCD2F" w:rsidR="00D17FDC" w:rsidRPr="00C12FD2" w:rsidRDefault="00D17FDC" w:rsidP="00D17FDC">
            <w:pPr>
              <w:rPr>
                <w:sz w:val="18"/>
                <w:szCs w:val="18"/>
              </w:rPr>
            </w:pPr>
            <w:r>
              <w:rPr>
                <w:sz w:val="18"/>
                <w:szCs w:val="18"/>
              </w:rPr>
              <w:t>Chelan County</w:t>
            </w:r>
          </w:p>
        </w:tc>
        <w:tc>
          <w:tcPr>
            <w:tcW w:w="1800" w:type="dxa"/>
            <w:shd w:val="clear" w:color="auto" w:fill="B1CECA"/>
            <w:noWrap/>
          </w:tcPr>
          <w:p w14:paraId="0B336633" w14:textId="22708AA8"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sz w:val="18"/>
                <w:szCs w:val="18"/>
              </w:rPr>
            </w:pPr>
            <w:r w:rsidRPr="00D17FDC">
              <w:rPr>
                <w:color w:val="000000"/>
                <w:sz w:val="18"/>
                <w:szCs w:val="18"/>
              </w:rPr>
              <w:t>0.81%</w:t>
            </w:r>
          </w:p>
        </w:tc>
        <w:tc>
          <w:tcPr>
            <w:tcW w:w="2070" w:type="dxa"/>
            <w:shd w:val="clear" w:color="auto" w:fill="B1CECA"/>
            <w:noWrap/>
          </w:tcPr>
          <w:p w14:paraId="4DE45645" w14:textId="2E280AF2"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sz w:val="18"/>
                <w:szCs w:val="18"/>
              </w:rPr>
            </w:pPr>
            <w:r w:rsidRPr="00D17FDC">
              <w:rPr>
                <w:color w:val="000000"/>
                <w:sz w:val="18"/>
                <w:szCs w:val="18"/>
              </w:rPr>
              <w:t xml:space="preserve">$76,700 </w:t>
            </w:r>
          </w:p>
        </w:tc>
      </w:tr>
      <w:tr w:rsidR="00D17FDC" w:rsidRPr="00C12FD2" w14:paraId="0CCDFBBA" w14:textId="77777777" w:rsidTr="00D17F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5" w:type="dxa"/>
            <w:shd w:val="clear" w:color="auto" w:fill="EDE4D5"/>
            <w:noWrap/>
            <w:hideMark/>
          </w:tcPr>
          <w:p w14:paraId="228DDF42" w14:textId="77777777" w:rsidR="00D17FDC" w:rsidRPr="00C12FD2" w:rsidRDefault="00D17FDC" w:rsidP="00D17FDC">
            <w:pPr>
              <w:rPr>
                <w:sz w:val="18"/>
                <w:szCs w:val="18"/>
              </w:rPr>
            </w:pPr>
            <w:r w:rsidRPr="00C12FD2">
              <w:rPr>
                <w:sz w:val="18"/>
                <w:szCs w:val="18"/>
              </w:rPr>
              <w:t>PUD No 1 of Cowlitz County</w:t>
            </w:r>
          </w:p>
        </w:tc>
        <w:tc>
          <w:tcPr>
            <w:tcW w:w="1800" w:type="dxa"/>
            <w:shd w:val="clear" w:color="auto" w:fill="EDE4D5"/>
            <w:noWrap/>
          </w:tcPr>
          <w:p w14:paraId="37BAA851" w14:textId="2DE540F3"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0.15%</w:t>
            </w:r>
          </w:p>
        </w:tc>
        <w:tc>
          <w:tcPr>
            <w:tcW w:w="2070" w:type="dxa"/>
            <w:shd w:val="clear" w:color="auto" w:fill="EDE4D5"/>
            <w:noWrap/>
          </w:tcPr>
          <w:p w14:paraId="0ED7EDE4" w14:textId="05023040"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 xml:space="preserve">$14,500 </w:t>
            </w:r>
          </w:p>
        </w:tc>
      </w:tr>
      <w:tr w:rsidR="00D17FDC" w:rsidRPr="00C12FD2" w14:paraId="5ACD3A26" w14:textId="77777777" w:rsidTr="00D17FD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5" w:type="dxa"/>
            <w:shd w:val="clear" w:color="auto" w:fill="B1CECA"/>
            <w:noWrap/>
            <w:hideMark/>
          </w:tcPr>
          <w:p w14:paraId="553ED560" w14:textId="77777777" w:rsidR="00D17FDC" w:rsidRPr="00C12FD2" w:rsidRDefault="00D17FDC" w:rsidP="00D17FDC">
            <w:pPr>
              <w:rPr>
                <w:sz w:val="18"/>
                <w:szCs w:val="18"/>
              </w:rPr>
            </w:pPr>
            <w:r w:rsidRPr="00C12FD2">
              <w:rPr>
                <w:sz w:val="18"/>
                <w:szCs w:val="18"/>
              </w:rPr>
              <w:t>Cascade Natural Gas</w:t>
            </w:r>
          </w:p>
        </w:tc>
        <w:tc>
          <w:tcPr>
            <w:tcW w:w="1800" w:type="dxa"/>
            <w:shd w:val="clear" w:color="auto" w:fill="B1CECA"/>
            <w:noWrap/>
          </w:tcPr>
          <w:p w14:paraId="668CB6AA" w14:textId="55934177"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sz w:val="18"/>
                <w:szCs w:val="18"/>
              </w:rPr>
            </w:pPr>
            <w:r w:rsidRPr="00D17FDC">
              <w:rPr>
                <w:color w:val="000000"/>
                <w:sz w:val="18"/>
                <w:szCs w:val="18"/>
              </w:rPr>
              <w:t>1.66%</w:t>
            </w:r>
          </w:p>
        </w:tc>
        <w:tc>
          <w:tcPr>
            <w:tcW w:w="2070" w:type="dxa"/>
            <w:shd w:val="clear" w:color="auto" w:fill="B1CECA"/>
            <w:noWrap/>
          </w:tcPr>
          <w:p w14:paraId="3F487C16" w14:textId="1FC3C7F5"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sz w:val="18"/>
                <w:szCs w:val="18"/>
              </w:rPr>
            </w:pPr>
            <w:r w:rsidRPr="00D17FDC">
              <w:rPr>
                <w:color w:val="000000"/>
                <w:sz w:val="18"/>
                <w:szCs w:val="18"/>
              </w:rPr>
              <w:t xml:space="preserve">$157,000 </w:t>
            </w:r>
          </w:p>
        </w:tc>
      </w:tr>
      <w:tr w:rsidR="00D17FDC" w:rsidRPr="00C12FD2" w14:paraId="4DC4128D" w14:textId="77777777" w:rsidTr="00D17FD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505" w:type="dxa"/>
            <w:shd w:val="clear" w:color="auto" w:fill="EDE4D5"/>
            <w:noWrap/>
            <w:hideMark/>
          </w:tcPr>
          <w:p w14:paraId="0E3C9BB3" w14:textId="77777777" w:rsidR="00D17FDC" w:rsidRPr="00C12FD2" w:rsidRDefault="00D17FDC" w:rsidP="00D17FDC">
            <w:pPr>
              <w:rPr>
                <w:sz w:val="18"/>
                <w:szCs w:val="18"/>
              </w:rPr>
            </w:pPr>
            <w:r w:rsidRPr="00C12FD2">
              <w:rPr>
                <w:sz w:val="18"/>
                <w:szCs w:val="18"/>
              </w:rPr>
              <w:lastRenderedPageBreak/>
              <w:t>NW Natural</w:t>
            </w:r>
          </w:p>
        </w:tc>
        <w:tc>
          <w:tcPr>
            <w:tcW w:w="1800" w:type="dxa"/>
            <w:shd w:val="clear" w:color="auto" w:fill="EDE4D5"/>
            <w:noWrap/>
          </w:tcPr>
          <w:p w14:paraId="462DD7FA" w14:textId="6C25C50D"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0.56%</w:t>
            </w:r>
          </w:p>
        </w:tc>
        <w:tc>
          <w:tcPr>
            <w:tcW w:w="2070" w:type="dxa"/>
            <w:shd w:val="clear" w:color="auto" w:fill="EDE4D5"/>
            <w:noWrap/>
          </w:tcPr>
          <w:p w14:paraId="67C36344" w14:textId="474B4C04" w:rsidR="00D17FDC" w:rsidRPr="00D17FDC" w:rsidRDefault="00D17FDC" w:rsidP="00D17FDC">
            <w:pPr>
              <w:jc w:val="right"/>
              <w:cnfStyle w:val="000000100000" w:firstRow="0" w:lastRow="0" w:firstColumn="0" w:lastColumn="0" w:oddVBand="0" w:evenVBand="0" w:oddHBand="1" w:evenHBand="0" w:firstRowFirstColumn="0" w:firstRowLastColumn="0" w:lastRowFirstColumn="0" w:lastRowLastColumn="0"/>
              <w:rPr>
                <w:sz w:val="18"/>
                <w:szCs w:val="18"/>
              </w:rPr>
            </w:pPr>
            <w:r w:rsidRPr="00D17FDC">
              <w:rPr>
                <w:color w:val="000000"/>
                <w:sz w:val="18"/>
                <w:szCs w:val="18"/>
              </w:rPr>
              <w:t xml:space="preserve">$52,900 </w:t>
            </w:r>
          </w:p>
        </w:tc>
      </w:tr>
      <w:tr w:rsidR="00D17FDC" w:rsidRPr="00C12FD2" w14:paraId="597776F0" w14:textId="77777777" w:rsidTr="00D17FD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505" w:type="dxa"/>
            <w:shd w:val="clear" w:color="auto" w:fill="336E7E"/>
            <w:noWrap/>
            <w:hideMark/>
          </w:tcPr>
          <w:p w14:paraId="760885CF" w14:textId="77777777" w:rsidR="00D17FDC" w:rsidRPr="001D2847" w:rsidRDefault="00D17FDC" w:rsidP="00D17FDC">
            <w:pPr>
              <w:rPr>
                <w:b/>
                <w:color w:val="FFFFFF" w:themeColor="background1"/>
                <w:sz w:val="18"/>
                <w:szCs w:val="18"/>
              </w:rPr>
            </w:pPr>
            <w:r w:rsidRPr="001D2847">
              <w:rPr>
                <w:b/>
                <w:color w:val="FFFFFF" w:themeColor="background1"/>
                <w:sz w:val="18"/>
                <w:szCs w:val="18"/>
              </w:rPr>
              <w:t>Total</w:t>
            </w:r>
          </w:p>
        </w:tc>
        <w:tc>
          <w:tcPr>
            <w:tcW w:w="1800" w:type="dxa"/>
            <w:shd w:val="clear" w:color="auto" w:fill="336E7E"/>
            <w:noWrap/>
            <w:hideMark/>
          </w:tcPr>
          <w:p w14:paraId="40024731" w14:textId="4D5FDECF" w:rsidR="00D17FDC" w:rsidRPr="001C2E09" w:rsidRDefault="00D17FDC" w:rsidP="00D17FDC">
            <w:pPr>
              <w:jc w:val="right"/>
              <w:cnfStyle w:val="000000010000" w:firstRow="0" w:lastRow="0" w:firstColumn="0" w:lastColumn="0" w:oddVBand="0" w:evenVBand="0" w:oddHBand="0" w:evenHBand="1" w:firstRowFirstColumn="0" w:firstRowLastColumn="0" w:lastRowFirstColumn="0" w:lastRowLastColumn="0"/>
              <w:rPr>
                <w:b/>
                <w:bCs/>
                <w:color w:val="FFFFFF" w:themeColor="background1"/>
                <w:sz w:val="18"/>
                <w:szCs w:val="18"/>
              </w:rPr>
            </w:pPr>
            <w:r w:rsidRPr="001C2E09">
              <w:rPr>
                <w:b/>
                <w:bCs/>
                <w:color w:val="FFFFFF" w:themeColor="background1"/>
                <w:sz w:val="18"/>
                <w:szCs w:val="18"/>
              </w:rPr>
              <w:t>100.00%</w:t>
            </w:r>
          </w:p>
        </w:tc>
        <w:tc>
          <w:tcPr>
            <w:tcW w:w="2070" w:type="dxa"/>
            <w:shd w:val="clear" w:color="auto" w:fill="336E7E"/>
            <w:noWrap/>
            <w:hideMark/>
          </w:tcPr>
          <w:p w14:paraId="3271F958" w14:textId="34CB9076" w:rsidR="00D17FDC" w:rsidRPr="00D17FDC" w:rsidRDefault="00D17FDC" w:rsidP="00D17FDC">
            <w:pPr>
              <w:jc w:val="right"/>
              <w:cnfStyle w:val="000000010000" w:firstRow="0" w:lastRow="0" w:firstColumn="0" w:lastColumn="0" w:oddVBand="0" w:evenVBand="0" w:oddHBand="0" w:evenHBand="1" w:firstRowFirstColumn="0" w:firstRowLastColumn="0" w:lastRowFirstColumn="0" w:lastRowLastColumn="0"/>
              <w:rPr>
                <w:b/>
                <w:bCs/>
                <w:color w:val="FFFFFF" w:themeColor="background1"/>
                <w:sz w:val="18"/>
                <w:szCs w:val="18"/>
              </w:rPr>
            </w:pPr>
            <w:r w:rsidRPr="00D17FDC">
              <w:rPr>
                <w:b/>
                <w:bCs/>
                <w:color w:val="FFFFFF" w:themeColor="background1"/>
                <w:sz w:val="18"/>
                <w:szCs w:val="18"/>
              </w:rPr>
              <w:t xml:space="preserve">$9,461,300 </w:t>
            </w:r>
          </w:p>
        </w:tc>
      </w:tr>
    </w:tbl>
    <w:p w14:paraId="571ACA73" w14:textId="67130791" w:rsidR="00DB7180" w:rsidRPr="006C01E4" w:rsidRDefault="006C01E4" w:rsidP="00DB7180">
      <w:pPr>
        <w:rPr>
          <w:sz w:val="18"/>
          <w:szCs w:val="18"/>
        </w:rPr>
      </w:pPr>
      <w:r w:rsidRPr="006C01E4">
        <w:rPr>
          <w:sz w:val="18"/>
          <w:szCs w:val="18"/>
        </w:rPr>
        <w:t>*</w:t>
      </w:r>
      <w:proofErr w:type="spellStart"/>
      <w:r w:rsidRPr="006C01E4">
        <w:rPr>
          <w:sz w:val="18"/>
          <w:szCs w:val="18"/>
        </w:rPr>
        <w:t>NorthWestern</w:t>
      </w:r>
      <w:proofErr w:type="spellEnd"/>
      <w:r w:rsidRPr="006C01E4">
        <w:rPr>
          <w:sz w:val="18"/>
          <w:szCs w:val="18"/>
        </w:rPr>
        <w:t xml:space="preserve"> Energy </w:t>
      </w:r>
      <w:r w:rsidR="001C2E09">
        <w:rPr>
          <w:sz w:val="18"/>
          <w:szCs w:val="18"/>
        </w:rPr>
        <w:t>share</w:t>
      </w:r>
      <w:r w:rsidR="00846D74">
        <w:rPr>
          <w:sz w:val="18"/>
          <w:szCs w:val="18"/>
        </w:rPr>
        <w:t xml:space="preserve"> adjusted to 52% of NEEA allocation share</w:t>
      </w:r>
      <w:r w:rsidR="001C2E09">
        <w:rPr>
          <w:sz w:val="18"/>
          <w:szCs w:val="18"/>
        </w:rPr>
        <w:t>.</w:t>
      </w:r>
    </w:p>
    <w:p w14:paraId="4F841A36" w14:textId="7EDCF578" w:rsidR="007E673E" w:rsidRDefault="007E673E" w:rsidP="00DB7180">
      <w:r>
        <w:t xml:space="preserve">The RTF PAC agreed to manage the funding as a five-year budget, and any unspent and unallocated funds from previous years may be applied to later years. At the end of the five-year period, any unspent funds will be credited back to the funders. </w:t>
      </w:r>
    </w:p>
    <w:p w14:paraId="39D581E2" w14:textId="0350D83C" w:rsidR="00DB7180" w:rsidRDefault="00345BB9" w:rsidP="00DB7180">
      <w:r>
        <w:t xml:space="preserve">In addition to the agreed to funding for this work plan cycle, the RTF PAC considered how best to apply funds </w:t>
      </w:r>
      <w:r w:rsidR="003D5E0F">
        <w:t xml:space="preserve">that were not spent or returned </w:t>
      </w:r>
      <w:r>
        <w:t>from the early years of the RTF</w:t>
      </w:r>
      <w:r w:rsidR="003D5E0F">
        <w:t xml:space="preserve"> prior to the </w:t>
      </w:r>
      <w:r w:rsidR="00420783">
        <w:t>implementation</w:t>
      </w:r>
      <w:r w:rsidR="003D5E0F">
        <w:t xml:space="preserve"> of formal funding agreements.</w:t>
      </w:r>
      <w:r>
        <w:t xml:space="preserve"> The carryover funding from previous cycles totals $167,732. The RTF PAC agreed to apply these funds to additional work in this 2020-2024 Business Plan cycle for a total five-year budget of $9,629,032.</w:t>
      </w:r>
    </w:p>
    <w:p w14:paraId="4EE4885A" w14:textId="77777777" w:rsidR="005263DE" w:rsidRDefault="005263DE" w:rsidP="005263DE">
      <w:pPr>
        <w:pStyle w:val="Heading2"/>
      </w:pPr>
      <w:r>
        <w:t>Operations and Staffing</w:t>
      </w:r>
    </w:p>
    <w:p w14:paraId="304FC8F3" w14:textId="4F2C77E1" w:rsidR="00243664" w:rsidRDefault="00243664" w:rsidP="00243664">
      <w:r>
        <w:t xml:space="preserve">The RTF is an advisory committee consisting of 20-30 voluntary members. The Council appoints the membership </w:t>
      </w:r>
      <w:r w:rsidR="002A3719">
        <w:t xml:space="preserve">to </w:t>
      </w:r>
      <w:r w:rsidR="00555863">
        <w:t>ensure</w:t>
      </w:r>
      <w:r>
        <w:t xml:space="preserve"> a fair balance in technical expertise </w:t>
      </w:r>
      <w:r w:rsidR="00555863">
        <w:t>for</w:t>
      </w:r>
      <w:r>
        <w:t xml:space="preserve"> successful completion of the work plan. The RTF as a body meets approximately once a month for a full-day meeting at the Council’s main office in Portland, OR. </w:t>
      </w:r>
    </w:p>
    <w:p w14:paraId="7FDCED76" w14:textId="41B50AC4" w:rsidR="0052193B" w:rsidRDefault="00243664" w:rsidP="00243664">
      <w:r>
        <w:t>To reduce the burden placed on the voluntary members, the RTF budget supports funding for one full</w:t>
      </w:r>
      <w:r w:rsidR="00555863">
        <w:t>-</w:t>
      </w:r>
      <w:r>
        <w:t>time manager and contracted technical support.</w:t>
      </w:r>
      <w:r w:rsidR="0052193B">
        <w:t xml:space="preserve"> The RTF Manager is a Council employee whose responsibility is to oversee day to day operation of the RTF. This includes developing and managing work plans, managing contracts, developing quarterly and annual reports, and interfacing with the Council. Approximately 10 percent of the RTF budget goes to this function. </w:t>
      </w:r>
    </w:p>
    <w:p w14:paraId="598ECA3E" w14:textId="5ECB2F9D" w:rsidR="0052193B" w:rsidRDefault="0052193B" w:rsidP="00243664">
      <w:r>
        <w:t>The largest portion of the budget (</w:t>
      </w:r>
      <w:r w:rsidR="00466DA0">
        <w:t>around 70</w:t>
      </w:r>
      <w:r>
        <w:t xml:space="preserve"> percent) supports a team of dedicated contract analysts that conduct the bulk of technical analysis on behalf of the RTF.</w:t>
      </w:r>
      <w:r w:rsidR="00252F5A">
        <w:t xml:space="preserve"> The RTF transitioned to this team approach from one</w:t>
      </w:r>
      <w:r w:rsidR="002A3719">
        <w:t>-</w:t>
      </w:r>
      <w:r w:rsidR="00252F5A">
        <w:t xml:space="preserve">off contracts as a way of ensuring </w:t>
      </w:r>
      <w:r>
        <w:t xml:space="preserve">greater consistency in analysis across work products and </w:t>
      </w:r>
      <w:r w:rsidR="00252F5A">
        <w:t>prov</w:t>
      </w:r>
      <w:r w:rsidR="00466DA0">
        <w:t>id</w:t>
      </w:r>
      <w:r w:rsidR="00252F5A">
        <w:t xml:space="preserve">ing </w:t>
      </w:r>
      <w:r>
        <w:t>flexibility in work flow for achieving annual work plan goals. The 2020-2024 funding levels are sufficient to support up to six contract analysts</w:t>
      </w:r>
      <w:r w:rsidR="00555863">
        <w:t xml:space="preserve"> annually</w:t>
      </w:r>
      <w:r>
        <w:t>.</w:t>
      </w:r>
    </w:p>
    <w:p w14:paraId="55F18876" w14:textId="6CD94D14" w:rsidR="00252F5A" w:rsidRDefault="00252F5A" w:rsidP="00FF37B8">
      <w:r>
        <w:t xml:space="preserve">The remaining </w:t>
      </w:r>
      <w:r w:rsidR="00466DA0">
        <w:t>20</w:t>
      </w:r>
      <w:r>
        <w:t xml:space="preserve"> percent of the budget is set aside for specific contracts in support of work plan goals. This work generally falls into one of the following categories: 1) contracting with a firm to act as a third party for quality control review, 2) supporting members attendance at meetings, and 3) expanding the technical capabilities of the team for specific projects or tool development.  </w:t>
      </w:r>
    </w:p>
    <w:p w14:paraId="2E0CEBD6" w14:textId="77777777" w:rsidR="00FF37B8" w:rsidRDefault="00FF37B8" w:rsidP="005263DE">
      <w:pPr>
        <w:pStyle w:val="Heading2"/>
      </w:pPr>
      <w:r>
        <w:t>Council Contribution</w:t>
      </w:r>
    </w:p>
    <w:p w14:paraId="40C049D5" w14:textId="53D5B0DD" w:rsidR="00594F56" w:rsidRDefault="00FF37B8" w:rsidP="006F31D0">
      <w:r>
        <w:t xml:space="preserve">In addition to the </w:t>
      </w:r>
      <w:r w:rsidR="00252F5A">
        <w:t>funding described above, the Council contributes staff time and office and meeting space to the RTF. From a staffing perspective, the Council contributes a full time RTF assistant who provides day to day support of the operations</w:t>
      </w:r>
      <w:r w:rsidR="00015586">
        <w:t>, as well as a portion of others</w:t>
      </w:r>
      <w:r w:rsidR="002A3719">
        <w:t>’</w:t>
      </w:r>
      <w:r w:rsidR="00015586">
        <w:t xml:space="preserve"> time to </w:t>
      </w:r>
      <w:r w:rsidR="00015586" w:rsidRPr="00D842A9">
        <w:t>support technical analysis, contracting and legal assistance, and other administrative tasks.</w:t>
      </w:r>
      <w:r w:rsidR="00466DA0" w:rsidRPr="00D842A9">
        <w:t xml:space="preserve"> </w:t>
      </w:r>
      <w:r w:rsidR="008F49EE" w:rsidRPr="00D842A9">
        <w:t xml:space="preserve">These staff </w:t>
      </w:r>
      <w:r w:rsidR="00466DA0" w:rsidRPr="00D842A9">
        <w:t>contributions</w:t>
      </w:r>
      <w:r w:rsidR="008F49EE" w:rsidRPr="00D842A9">
        <w:t xml:space="preserve"> are estimated in the table below</w:t>
      </w:r>
      <w:r w:rsidR="00466DA0" w:rsidRPr="00D842A9">
        <w:t>.</w:t>
      </w:r>
      <w:r w:rsidR="00345BB9">
        <w:t xml:space="preserve"> The exact estimates will be updated annually to reflect prior year rollover of funds, application of carryover from previous cycles, and any shifts across categories.</w:t>
      </w:r>
    </w:p>
    <w:p w14:paraId="2BDD4918" w14:textId="11CDC3F6" w:rsidR="00DB7180" w:rsidRDefault="00DB7180" w:rsidP="00DB7180">
      <w:pPr>
        <w:pStyle w:val="TableTitle"/>
      </w:pPr>
      <w:r>
        <w:lastRenderedPageBreak/>
        <w:t xml:space="preserve">Table </w:t>
      </w:r>
      <w:r w:rsidR="00D0546D">
        <w:rPr>
          <w:noProof/>
        </w:rPr>
        <w:fldChar w:fldCharType="begin"/>
      </w:r>
      <w:r w:rsidR="00D0546D">
        <w:rPr>
          <w:noProof/>
        </w:rPr>
        <w:instrText xml:space="preserve"> SEQ Table \* ARABIC </w:instrText>
      </w:r>
      <w:r w:rsidR="00D0546D">
        <w:rPr>
          <w:noProof/>
        </w:rPr>
        <w:fldChar w:fldCharType="separate"/>
      </w:r>
      <w:r w:rsidR="003F23EA">
        <w:rPr>
          <w:noProof/>
        </w:rPr>
        <w:t>2</w:t>
      </w:r>
      <w:r w:rsidR="00D0546D">
        <w:rPr>
          <w:noProof/>
        </w:rPr>
        <w:fldChar w:fldCharType="end"/>
      </w:r>
      <w:r>
        <w:t>: Annual Funding Levels</w:t>
      </w:r>
    </w:p>
    <w:tbl>
      <w:tblPr>
        <w:tblStyle w:val="RTFTable"/>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57"/>
        <w:gridCol w:w="1358"/>
        <w:gridCol w:w="1359"/>
        <w:gridCol w:w="1358"/>
        <w:gridCol w:w="1359"/>
        <w:gridCol w:w="1359"/>
      </w:tblGrid>
      <w:tr w:rsidR="005263DE" w:rsidRPr="00C12FD2" w14:paraId="6B136A27" w14:textId="77777777" w:rsidTr="00DB7180">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2557" w:type="dxa"/>
            <w:noWrap/>
            <w:hideMark/>
          </w:tcPr>
          <w:p w14:paraId="6349F9F4" w14:textId="77777777" w:rsidR="005263DE" w:rsidRPr="00C12FD2" w:rsidRDefault="005263DE">
            <w:pPr>
              <w:rPr>
                <w:sz w:val="18"/>
                <w:szCs w:val="18"/>
              </w:rPr>
            </w:pPr>
            <w:r w:rsidRPr="00C12FD2">
              <w:rPr>
                <w:sz w:val="18"/>
                <w:szCs w:val="18"/>
              </w:rPr>
              <w:t> </w:t>
            </w:r>
          </w:p>
        </w:tc>
        <w:tc>
          <w:tcPr>
            <w:tcW w:w="1358" w:type="dxa"/>
            <w:hideMark/>
          </w:tcPr>
          <w:p w14:paraId="2806F67C" w14:textId="77777777" w:rsidR="005263DE" w:rsidRPr="00C12FD2" w:rsidRDefault="005263DE" w:rsidP="005263DE">
            <w:pPr>
              <w:cnfStyle w:val="100000000000" w:firstRow="1" w:lastRow="0" w:firstColumn="0" w:lastColumn="0" w:oddVBand="0" w:evenVBand="0" w:oddHBand="0" w:evenHBand="0" w:firstRowFirstColumn="0" w:firstRowLastColumn="0" w:lastRowFirstColumn="0" w:lastRowLastColumn="0"/>
              <w:rPr>
                <w:b/>
                <w:sz w:val="18"/>
                <w:szCs w:val="18"/>
              </w:rPr>
            </w:pPr>
            <w:r w:rsidRPr="00C12FD2">
              <w:rPr>
                <w:b/>
                <w:sz w:val="18"/>
                <w:szCs w:val="18"/>
              </w:rPr>
              <w:t>2020</w:t>
            </w:r>
          </w:p>
        </w:tc>
        <w:tc>
          <w:tcPr>
            <w:tcW w:w="1359" w:type="dxa"/>
            <w:hideMark/>
          </w:tcPr>
          <w:p w14:paraId="2E2ABBA7" w14:textId="77777777" w:rsidR="005263DE" w:rsidRPr="00C12FD2" w:rsidRDefault="005263DE" w:rsidP="005263DE">
            <w:pPr>
              <w:cnfStyle w:val="100000000000" w:firstRow="1" w:lastRow="0" w:firstColumn="0" w:lastColumn="0" w:oddVBand="0" w:evenVBand="0" w:oddHBand="0" w:evenHBand="0" w:firstRowFirstColumn="0" w:firstRowLastColumn="0" w:lastRowFirstColumn="0" w:lastRowLastColumn="0"/>
              <w:rPr>
                <w:b/>
                <w:sz w:val="18"/>
                <w:szCs w:val="18"/>
              </w:rPr>
            </w:pPr>
            <w:r w:rsidRPr="00C12FD2">
              <w:rPr>
                <w:b/>
                <w:sz w:val="18"/>
                <w:szCs w:val="18"/>
              </w:rPr>
              <w:t>2021</w:t>
            </w:r>
          </w:p>
        </w:tc>
        <w:tc>
          <w:tcPr>
            <w:tcW w:w="1358" w:type="dxa"/>
            <w:hideMark/>
          </w:tcPr>
          <w:p w14:paraId="386DCFE2" w14:textId="77777777" w:rsidR="005263DE" w:rsidRPr="00C12FD2" w:rsidRDefault="005263DE" w:rsidP="005263DE">
            <w:pPr>
              <w:cnfStyle w:val="100000000000" w:firstRow="1" w:lastRow="0" w:firstColumn="0" w:lastColumn="0" w:oddVBand="0" w:evenVBand="0" w:oddHBand="0" w:evenHBand="0" w:firstRowFirstColumn="0" w:firstRowLastColumn="0" w:lastRowFirstColumn="0" w:lastRowLastColumn="0"/>
              <w:rPr>
                <w:b/>
                <w:sz w:val="18"/>
                <w:szCs w:val="18"/>
              </w:rPr>
            </w:pPr>
            <w:r w:rsidRPr="00C12FD2">
              <w:rPr>
                <w:b/>
                <w:sz w:val="18"/>
                <w:szCs w:val="18"/>
              </w:rPr>
              <w:t>2022</w:t>
            </w:r>
          </w:p>
        </w:tc>
        <w:tc>
          <w:tcPr>
            <w:tcW w:w="1359" w:type="dxa"/>
            <w:hideMark/>
          </w:tcPr>
          <w:p w14:paraId="67CCDF40" w14:textId="77777777" w:rsidR="005263DE" w:rsidRPr="00C12FD2" w:rsidRDefault="005263DE" w:rsidP="005263DE">
            <w:pPr>
              <w:cnfStyle w:val="100000000000" w:firstRow="1" w:lastRow="0" w:firstColumn="0" w:lastColumn="0" w:oddVBand="0" w:evenVBand="0" w:oddHBand="0" w:evenHBand="0" w:firstRowFirstColumn="0" w:firstRowLastColumn="0" w:lastRowFirstColumn="0" w:lastRowLastColumn="0"/>
              <w:rPr>
                <w:b/>
                <w:sz w:val="18"/>
                <w:szCs w:val="18"/>
              </w:rPr>
            </w:pPr>
            <w:r w:rsidRPr="00C12FD2">
              <w:rPr>
                <w:b/>
                <w:sz w:val="18"/>
                <w:szCs w:val="18"/>
              </w:rPr>
              <w:t>2023</w:t>
            </w:r>
          </w:p>
        </w:tc>
        <w:tc>
          <w:tcPr>
            <w:tcW w:w="1359" w:type="dxa"/>
            <w:hideMark/>
          </w:tcPr>
          <w:p w14:paraId="399D8566" w14:textId="77777777" w:rsidR="005263DE" w:rsidRPr="00C12FD2" w:rsidRDefault="005263DE" w:rsidP="005263DE">
            <w:pPr>
              <w:cnfStyle w:val="100000000000" w:firstRow="1" w:lastRow="0" w:firstColumn="0" w:lastColumn="0" w:oddVBand="0" w:evenVBand="0" w:oddHBand="0" w:evenHBand="0" w:firstRowFirstColumn="0" w:firstRowLastColumn="0" w:lastRowFirstColumn="0" w:lastRowLastColumn="0"/>
              <w:rPr>
                <w:b/>
                <w:sz w:val="18"/>
                <w:szCs w:val="18"/>
              </w:rPr>
            </w:pPr>
            <w:r w:rsidRPr="00C12FD2">
              <w:rPr>
                <w:b/>
                <w:sz w:val="18"/>
                <w:szCs w:val="18"/>
              </w:rPr>
              <w:t>2024</w:t>
            </w:r>
          </w:p>
        </w:tc>
      </w:tr>
      <w:tr w:rsidR="008F49EE" w:rsidRPr="00C12FD2" w14:paraId="24D68A44" w14:textId="77777777" w:rsidTr="008F49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7" w:type="dxa"/>
            <w:shd w:val="clear" w:color="auto" w:fill="EDE4D5"/>
            <w:noWrap/>
            <w:hideMark/>
          </w:tcPr>
          <w:p w14:paraId="62DC3AAC" w14:textId="77777777" w:rsidR="008F49EE" w:rsidRPr="00C12FD2" w:rsidRDefault="008F49EE" w:rsidP="008F49EE">
            <w:pPr>
              <w:rPr>
                <w:sz w:val="18"/>
                <w:szCs w:val="18"/>
              </w:rPr>
            </w:pPr>
            <w:r w:rsidRPr="00C12FD2">
              <w:rPr>
                <w:sz w:val="18"/>
                <w:szCs w:val="18"/>
              </w:rPr>
              <w:t>Contract RFP</w:t>
            </w:r>
          </w:p>
        </w:tc>
        <w:tc>
          <w:tcPr>
            <w:tcW w:w="1358" w:type="dxa"/>
            <w:shd w:val="clear" w:color="auto" w:fill="EDE4D5"/>
            <w:noWrap/>
            <w:hideMark/>
          </w:tcPr>
          <w:p w14:paraId="35C3D6E4" w14:textId="4C6E6AED" w:rsidR="008F49EE" w:rsidRPr="008F49EE" w:rsidRDefault="008F49EE" w:rsidP="008F4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8F49EE">
              <w:rPr>
                <w:color w:val="000000"/>
                <w:sz w:val="18"/>
                <w:szCs w:val="18"/>
              </w:rPr>
              <w:t xml:space="preserve">$433,000 </w:t>
            </w:r>
          </w:p>
        </w:tc>
        <w:tc>
          <w:tcPr>
            <w:tcW w:w="1359" w:type="dxa"/>
            <w:shd w:val="clear" w:color="auto" w:fill="EDE4D5"/>
            <w:noWrap/>
            <w:hideMark/>
          </w:tcPr>
          <w:p w14:paraId="3517ACB7" w14:textId="2D5348C0" w:rsidR="008F49EE" w:rsidRPr="008F49EE" w:rsidRDefault="008F49EE" w:rsidP="008F4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8F49EE">
              <w:rPr>
                <w:color w:val="000000"/>
                <w:sz w:val="18"/>
                <w:szCs w:val="18"/>
              </w:rPr>
              <w:t>$431,</w:t>
            </w:r>
            <w:r w:rsidR="006F77DF">
              <w:rPr>
                <w:color w:val="000000"/>
                <w:sz w:val="18"/>
                <w:szCs w:val="18"/>
              </w:rPr>
              <w:t>4</w:t>
            </w:r>
            <w:r w:rsidRPr="008F49EE">
              <w:rPr>
                <w:color w:val="000000"/>
                <w:sz w:val="18"/>
                <w:szCs w:val="18"/>
              </w:rPr>
              <w:t xml:space="preserve">00 </w:t>
            </w:r>
          </w:p>
        </w:tc>
        <w:tc>
          <w:tcPr>
            <w:tcW w:w="1358" w:type="dxa"/>
            <w:shd w:val="clear" w:color="auto" w:fill="EDE4D5"/>
            <w:noWrap/>
            <w:hideMark/>
          </w:tcPr>
          <w:p w14:paraId="6849B1AF" w14:textId="36B99F66" w:rsidR="008F49EE" w:rsidRPr="008F49EE" w:rsidRDefault="008F49EE" w:rsidP="008F4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8F49EE">
              <w:rPr>
                <w:color w:val="000000"/>
                <w:sz w:val="18"/>
                <w:szCs w:val="18"/>
              </w:rPr>
              <w:t xml:space="preserve">$412,900 </w:t>
            </w:r>
          </w:p>
        </w:tc>
        <w:tc>
          <w:tcPr>
            <w:tcW w:w="1359" w:type="dxa"/>
            <w:shd w:val="clear" w:color="auto" w:fill="EDE4D5"/>
            <w:noWrap/>
            <w:hideMark/>
          </w:tcPr>
          <w:p w14:paraId="6E32722B" w14:textId="7C3846AF" w:rsidR="008F49EE" w:rsidRPr="008F49EE" w:rsidRDefault="008F49EE" w:rsidP="008F4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8F49EE">
              <w:rPr>
                <w:color w:val="000000"/>
                <w:sz w:val="18"/>
                <w:szCs w:val="18"/>
              </w:rPr>
              <w:t>$440,</w:t>
            </w:r>
            <w:r w:rsidR="006F77DF">
              <w:rPr>
                <w:color w:val="000000"/>
                <w:sz w:val="18"/>
                <w:szCs w:val="18"/>
              </w:rPr>
              <w:t>4</w:t>
            </w:r>
            <w:r w:rsidRPr="008F49EE">
              <w:rPr>
                <w:color w:val="000000"/>
                <w:sz w:val="18"/>
                <w:szCs w:val="18"/>
              </w:rPr>
              <w:t xml:space="preserve">00 </w:t>
            </w:r>
          </w:p>
        </w:tc>
        <w:tc>
          <w:tcPr>
            <w:tcW w:w="1359" w:type="dxa"/>
            <w:shd w:val="clear" w:color="auto" w:fill="EDE4D5"/>
            <w:noWrap/>
            <w:hideMark/>
          </w:tcPr>
          <w:p w14:paraId="2052D588" w14:textId="5CCE8588" w:rsidR="008F49EE" w:rsidRPr="008F49EE" w:rsidRDefault="008F49EE" w:rsidP="008F4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8F49EE">
              <w:rPr>
                <w:color w:val="000000"/>
                <w:sz w:val="18"/>
                <w:szCs w:val="18"/>
              </w:rPr>
              <w:t xml:space="preserve">$436,000 </w:t>
            </w:r>
          </w:p>
        </w:tc>
      </w:tr>
      <w:tr w:rsidR="008F49EE" w:rsidRPr="00C12FD2" w14:paraId="71905207" w14:textId="77777777" w:rsidTr="008F49E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7" w:type="dxa"/>
            <w:shd w:val="clear" w:color="auto" w:fill="EDE4D5"/>
            <w:noWrap/>
            <w:hideMark/>
          </w:tcPr>
          <w:p w14:paraId="55830D99" w14:textId="77777777" w:rsidR="008F49EE" w:rsidRPr="00C12FD2" w:rsidRDefault="008F49EE" w:rsidP="008F49EE">
            <w:pPr>
              <w:rPr>
                <w:sz w:val="18"/>
                <w:szCs w:val="18"/>
              </w:rPr>
            </w:pPr>
            <w:r w:rsidRPr="00C12FD2">
              <w:rPr>
                <w:sz w:val="18"/>
                <w:szCs w:val="18"/>
              </w:rPr>
              <w:t>Contract Analyst Team</w:t>
            </w:r>
          </w:p>
        </w:tc>
        <w:tc>
          <w:tcPr>
            <w:tcW w:w="1358" w:type="dxa"/>
            <w:shd w:val="clear" w:color="auto" w:fill="EDE4D5"/>
            <w:noWrap/>
            <w:hideMark/>
          </w:tcPr>
          <w:p w14:paraId="1FAD7795" w14:textId="79C8B5F2" w:rsidR="008F49EE" w:rsidRPr="008F49EE" w:rsidRDefault="008F49EE" w:rsidP="008F49EE">
            <w:pPr>
              <w:jc w:val="right"/>
              <w:cnfStyle w:val="000000010000" w:firstRow="0" w:lastRow="0" w:firstColumn="0" w:lastColumn="0" w:oddVBand="0" w:evenVBand="0" w:oddHBand="0" w:evenHBand="1" w:firstRowFirstColumn="0" w:firstRowLastColumn="0" w:lastRowFirstColumn="0" w:lastRowLastColumn="0"/>
              <w:rPr>
                <w:sz w:val="18"/>
                <w:szCs w:val="18"/>
              </w:rPr>
            </w:pPr>
            <w:r w:rsidRPr="008F49EE">
              <w:rPr>
                <w:color w:val="000000"/>
                <w:sz w:val="18"/>
                <w:szCs w:val="18"/>
              </w:rPr>
              <w:t xml:space="preserve">$1,193,000 </w:t>
            </w:r>
          </w:p>
        </w:tc>
        <w:tc>
          <w:tcPr>
            <w:tcW w:w="1359" w:type="dxa"/>
            <w:shd w:val="clear" w:color="auto" w:fill="EDE4D5"/>
            <w:noWrap/>
            <w:hideMark/>
          </w:tcPr>
          <w:p w14:paraId="5CD1502A" w14:textId="79D69596" w:rsidR="008F49EE" w:rsidRPr="008F49EE" w:rsidRDefault="008F49EE" w:rsidP="008F49EE">
            <w:pPr>
              <w:jc w:val="right"/>
              <w:cnfStyle w:val="000000010000" w:firstRow="0" w:lastRow="0" w:firstColumn="0" w:lastColumn="0" w:oddVBand="0" w:evenVBand="0" w:oddHBand="0" w:evenHBand="1" w:firstRowFirstColumn="0" w:firstRowLastColumn="0" w:lastRowFirstColumn="0" w:lastRowLastColumn="0"/>
              <w:rPr>
                <w:sz w:val="18"/>
                <w:szCs w:val="18"/>
              </w:rPr>
            </w:pPr>
            <w:r w:rsidRPr="008F49EE">
              <w:rPr>
                <w:color w:val="000000"/>
                <w:sz w:val="18"/>
                <w:szCs w:val="18"/>
              </w:rPr>
              <w:t>$1,235,</w:t>
            </w:r>
            <w:r w:rsidR="006F77DF">
              <w:rPr>
                <w:color w:val="000000"/>
                <w:sz w:val="18"/>
                <w:szCs w:val="18"/>
              </w:rPr>
              <w:t>2</w:t>
            </w:r>
            <w:r w:rsidRPr="008F49EE">
              <w:rPr>
                <w:color w:val="000000"/>
                <w:sz w:val="18"/>
                <w:szCs w:val="18"/>
              </w:rPr>
              <w:t xml:space="preserve">00 </w:t>
            </w:r>
          </w:p>
        </w:tc>
        <w:tc>
          <w:tcPr>
            <w:tcW w:w="1358" w:type="dxa"/>
            <w:shd w:val="clear" w:color="auto" w:fill="EDE4D5"/>
            <w:noWrap/>
            <w:hideMark/>
          </w:tcPr>
          <w:p w14:paraId="64FD4E92" w14:textId="576389D7" w:rsidR="008F49EE" w:rsidRPr="008F49EE" w:rsidRDefault="008F49EE" w:rsidP="008F49EE">
            <w:pPr>
              <w:jc w:val="right"/>
              <w:cnfStyle w:val="000000010000" w:firstRow="0" w:lastRow="0" w:firstColumn="0" w:lastColumn="0" w:oddVBand="0" w:evenVBand="0" w:oddHBand="0" w:evenHBand="1" w:firstRowFirstColumn="0" w:firstRowLastColumn="0" w:lastRowFirstColumn="0" w:lastRowLastColumn="0"/>
              <w:rPr>
                <w:sz w:val="18"/>
                <w:szCs w:val="18"/>
              </w:rPr>
            </w:pPr>
            <w:r w:rsidRPr="008F49EE">
              <w:rPr>
                <w:color w:val="000000"/>
                <w:sz w:val="18"/>
                <w:szCs w:val="18"/>
              </w:rPr>
              <w:t xml:space="preserve">$1,295,400 </w:t>
            </w:r>
          </w:p>
        </w:tc>
        <w:tc>
          <w:tcPr>
            <w:tcW w:w="1359" w:type="dxa"/>
            <w:shd w:val="clear" w:color="auto" w:fill="EDE4D5"/>
            <w:noWrap/>
            <w:hideMark/>
          </w:tcPr>
          <w:p w14:paraId="64BC25C8" w14:textId="16590AAA" w:rsidR="008F49EE" w:rsidRPr="008F49EE" w:rsidRDefault="008F49EE" w:rsidP="008F49EE">
            <w:pPr>
              <w:jc w:val="right"/>
              <w:cnfStyle w:val="000000010000" w:firstRow="0" w:lastRow="0" w:firstColumn="0" w:lastColumn="0" w:oddVBand="0" w:evenVBand="0" w:oddHBand="0" w:evenHBand="1" w:firstRowFirstColumn="0" w:firstRowLastColumn="0" w:lastRowFirstColumn="0" w:lastRowLastColumn="0"/>
              <w:rPr>
                <w:sz w:val="18"/>
                <w:szCs w:val="18"/>
              </w:rPr>
            </w:pPr>
            <w:r w:rsidRPr="008F49EE">
              <w:rPr>
                <w:color w:val="000000"/>
                <w:sz w:val="18"/>
                <w:szCs w:val="18"/>
              </w:rPr>
              <w:t>$1,310,</w:t>
            </w:r>
            <w:r w:rsidR="006F77DF">
              <w:rPr>
                <w:color w:val="000000"/>
                <w:sz w:val="18"/>
                <w:szCs w:val="18"/>
              </w:rPr>
              <w:t>6</w:t>
            </w:r>
            <w:r w:rsidRPr="008F49EE">
              <w:rPr>
                <w:color w:val="000000"/>
                <w:sz w:val="18"/>
                <w:szCs w:val="18"/>
              </w:rPr>
              <w:t xml:space="preserve">00 </w:t>
            </w:r>
          </w:p>
        </w:tc>
        <w:tc>
          <w:tcPr>
            <w:tcW w:w="1359" w:type="dxa"/>
            <w:shd w:val="clear" w:color="auto" w:fill="EDE4D5"/>
            <w:noWrap/>
            <w:hideMark/>
          </w:tcPr>
          <w:p w14:paraId="21025555" w14:textId="321BC506" w:rsidR="008F49EE" w:rsidRPr="008F49EE" w:rsidRDefault="008F49EE" w:rsidP="008F49EE">
            <w:pPr>
              <w:jc w:val="right"/>
              <w:cnfStyle w:val="000000010000" w:firstRow="0" w:lastRow="0" w:firstColumn="0" w:lastColumn="0" w:oddVBand="0" w:evenVBand="0" w:oddHBand="0" w:evenHBand="1" w:firstRowFirstColumn="0" w:firstRowLastColumn="0" w:lastRowFirstColumn="0" w:lastRowLastColumn="0"/>
              <w:rPr>
                <w:sz w:val="18"/>
                <w:szCs w:val="18"/>
              </w:rPr>
            </w:pPr>
            <w:r w:rsidRPr="008F49EE">
              <w:rPr>
                <w:color w:val="000000"/>
                <w:sz w:val="18"/>
                <w:szCs w:val="18"/>
              </w:rPr>
              <w:t xml:space="preserve">$1,358,700 </w:t>
            </w:r>
          </w:p>
        </w:tc>
      </w:tr>
      <w:tr w:rsidR="008F49EE" w:rsidRPr="00C12FD2" w14:paraId="60554629" w14:textId="77777777" w:rsidTr="008F49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7" w:type="dxa"/>
            <w:tcBorders>
              <w:bottom w:val="single" w:sz="8" w:space="0" w:color="auto"/>
            </w:tcBorders>
            <w:shd w:val="clear" w:color="auto" w:fill="EDE4D5"/>
            <w:noWrap/>
            <w:hideMark/>
          </w:tcPr>
          <w:p w14:paraId="48A7C091" w14:textId="77777777" w:rsidR="008F49EE" w:rsidRPr="00C12FD2" w:rsidRDefault="008F49EE" w:rsidP="008F49EE">
            <w:pPr>
              <w:rPr>
                <w:sz w:val="18"/>
                <w:szCs w:val="18"/>
              </w:rPr>
            </w:pPr>
            <w:r w:rsidRPr="00C12FD2">
              <w:rPr>
                <w:sz w:val="18"/>
                <w:szCs w:val="18"/>
              </w:rPr>
              <w:t>RTF Manager</w:t>
            </w:r>
          </w:p>
        </w:tc>
        <w:tc>
          <w:tcPr>
            <w:tcW w:w="1358" w:type="dxa"/>
            <w:tcBorders>
              <w:bottom w:val="single" w:sz="8" w:space="0" w:color="auto"/>
            </w:tcBorders>
            <w:shd w:val="clear" w:color="auto" w:fill="EDE4D5"/>
            <w:noWrap/>
            <w:hideMark/>
          </w:tcPr>
          <w:p w14:paraId="66935569" w14:textId="48C8CCA8" w:rsidR="008F49EE" w:rsidRPr="008F49EE" w:rsidRDefault="008F49EE" w:rsidP="008F4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8F49EE">
              <w:rPr>
                <w:color w:val="000000"/>
                <w:sz w:val="18"/>
                <w:szCs w:val="18"/>
              </w:rPr>
              <w:t xml:space="preserve">$174,000 </w:t>
            </w:r>
          </w:p>
        </w:tc>
        <w:tc>
          <w:tcPr>
            <w:tcW w:w="1359" w:type="dxa"/>
            <w:tcBorders>
              <w:bottom w:val="single" w:sz="8" w:space="0" w:color="auto"/>
            </w:tcBorders>
            <w:shd w:val="clear" w:color="auto" w:fill="EDE4D5"/>
            <w:noWrap/>
            <w:hideMark/>
          </w:tcPr>
          <w:p w14:paraId="3D409C13" w14:textId="104D1A2E" w:rsidR="008F49EE" w:rsidRPr="008F49EE" w:rsidRDefault="008F49EE" w:rsidP="008F4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8F49EE">
              <w:rPr>
                <w:color w:val="000000"/>
                <w:sz w:val="18"/>
                <w:szCs w:val="18"/>
              </w:rPr>
              <w:t>$178,</w:t>
            </w:r>
            <w:r w:rsidR="006F77DF">
              <w:rPr>
                <w:color w:val="000000"/>
                <w:sz w:val="18"/>
                <w:szCs w:val="18"/>
              </w:rPr>
              <w:t>4</w:t>
            </w:r>
            <w:r w:rsidRPr="008F49EE">
              <w:rPr>
                <w:color w:val="000000"/>
                <w:sz w:val="18"/>
                <w:szCs w:val="18"/>
              </w:rPr>
              <w:t xml:space="preserve">00 </w:t>
            </w:r>
          </w:p>
        </w:tc>
        <w:tc>
          <w:tcPr>
            <w:tcW w:w="1358" w:type="dxa"/>
            <w:tcBorders>
              <w:bottom w:val="single" w:sz="8" w:space="0" w:color="auto"/>
            </w:tcBorders>
            <w:shd w:val="clear" w:color="auto" w:fill="EDE4D5"/>
            <w:noWrap/>
            <w:hideMark/>
          </w:tcPr>
          <w:p w14:paraId="72B05333" w14:textId="24F7A53D" w:rsidR="008F49EE" w:rsidRPr="008F49EE" w:rsidRDefault="008F49EE" w:rsidP="008F4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8F49EE">
              <w:rPr>
                <w:color w:val="000000"/>
                <w:sz w:val="18"/>
                <w:szCs w:val="18"/>
              </w:rPr>
              <w:t xml:space="preserve">$182,800 </w:t>
            </w:r>
          </w:p>
        </w:tc>
        <w:tc>
          <w:tcPr>
            <w:tcW w:w="1359" w:type="dxa"/>
            <w:tcBorders>
              <w:bottom w:val="single" w:sz="8" w:space="0" w:color="auto"/>
            </w:tcBorders>
            <w:shd w:val="clear" w:color="auto" w:fill="EDE4D5"/>
            <w:noWrap/>
            <w:hideMark/>
          </w:tcPr>
          <w:p w14:paraId="7174C49C" w14:textId="2A0B7B2D" w:rsidR="008F49EE" w:rsidRPr="008F49EE" w:rsidRDefault="008F49EE" w:rsidP="008F4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8F49EE">
              <w:rPr>
                <w:color w:val="000000"/>
                <w:sz w:val="18"/>
                <w:szCs w:val="18"/>
              </w:rPr>
              <w:t xml:space="preserve">$187,400 </w:t>
            </w:r>
          </w:p>
        </w:tc>
        <w:tc>
          <w:tcPr>
            <w:tcW w:w="1359" w:type="dxa"/>
            <w:tcBorders>
              <w:bottom w:val="single" w:sz="8" w:space="0" w:color="auto"/>
            </w:tcBorders>
            <w:shd w:val="clear" w:color="auto" w:fill="EDE4D5"/>
            <w:noWrap/>
            <w:hideMark/>
          </w:tcPr>
          <w:p w14:paraId="27A782E5" w14:textId="19BD6352" w:rsidR="008F49EE" w:rsidRPr="008F49EE" w:rsidRDefault="008F49EE" w:rsidP="008F4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8F49EE">
              <w:rPr>
                <w:color w:val="000000"/>
                <w:sz w:val="18"/>
                <w:szCs w:val="18"/>
              </w:rPr>
              <w:t xml:space="preserve">$192,100 </w:t>
            </w:r>
          </w:p>
        </w:tc>
      </w:tr>
      <w:tr w:rsidR="008F49EE" w:rsidRPr="00C12FD2" w14:paraId="19E4A2D2" w14:textId="77777777" w:rsidTr="008F49E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7" w:type="dxa"/>
            <w:tcBorders>
              <w:bottom w:val="single" w:sz="18" w:space="0" w:color="EB7D5F"/>
            </w:tcBorders>
            <w:shd w:val="clear" w:color="auto" w:fill="336E7E"/>
            <w:noWrap/>
            <w:hideMark/>
          </w:tcPr>
          <w:p w14:paraId="42716ADC" w14:textId="77777777" w:rsidR="008F49EE" w:rsidRPr="00C12FD2" w:rsidRDefault="008F49EE" w:rsidP="008F49EE">
            <w:pPr>
              <w:rPr>
                <w:b/>
                <w:color w:val="FFFFFF" w:themeColor="background1"/>
                <w:sz w:val="18"/>
                <w:szCs w:val="18"/>
              </w:rPr>
            </w:pPr>
            <w:r w:rsidRPr="00C12FD2">
              <w:rPr>
                <w:b/>
                <w:color w:val="FFFFFF" w:themeColor="background1"/>
                <w:sz w:val="18"/>
                <w:szCs w:val="18"/>
              </w:rPr>
              <w:t xml:space="preserve">Annual Funding </w:t>
            </w:r>
          </w:p>
        </w:tc>
        <w:tc>
          <w:tcPr>
            <w:tcW w:w="1358" w:type="dxa"/>
            <w:tcBorders>
              <w:bottom w:val="single" w:sz="18" w:space="0" w:color="EB7D5F"/>
            </w:tcBorders>
            <w:shd w:val="clear" w:color="auto" w:fill="336E7E"/>
            <w:noWrap/>
            <w:hideMark/>
          </w:tcPr>
          <w:p w14:paraId="141D5D34" w14:textId="10FDBE4A" w:rsidR="008F49EE" w:rsidRPr="008F49EE" w:rsidRDefault="008F49EE" w:rsidP="008F49EE">
            <w:pPr>
              <w:jc w:val="right"/>
              <w:cnfStyle w:val="000000010000" w:firstRow="0" w:lastRow="0" w:firstColumn="0" w:lastColumn="0" w:oddVBand="0" w:evenVBand="0" w:oddHBand="0" w:evenHBand="1" w:firstRowFirstColumn="0" w:firstRowLastColumn="0" w:lastRowFirstColumn="0" w:lastRowLastColumn="0"/>
              <w:rPr>
                <w:b/>
                <w:color w:val="FFFFFF" w:themeColor="background1"/>
                <w:sz w:val="18"/>
                <w:szCs w:val="18"/>
              </w:rPr>
            </w:pPr>
            <w:r w:rsidRPr="008F49EE">
              <w:rPr>
                <w:b/>
                <w:color w:val="FFFFFF" w:themeColor="background1"/>
                <w:sz w:val="18"/>
                <w:szCs w:val="18"/>
              </w:rPr>
              <w:t xml:space="preserve">$1,800,000 </w:t>
            </w:r>
          </w:p>
        </w:tc>
        <w:tc>
          <w:tcPr>
            <w:tcW w:w="1359" w:type="dxa"/>
            <w:tcBorders>
              <w:bottom w:val="single" w:sz="18" w:space="0" w:color="EB7D5F"/>
            </w:tcBorders>
            <w:shd w:val="clear" w:color="auto" w:fill="336E7E"/>
            <w:noWrap/>
            <w:hideMark/>
          </w:tcPr>
          <w:p w14:paraId="458D6137" w14:textId="26FDF7D9" w:rsidR="008F49EE" w:rsidRPr="008F49EE" w:rsidRDefault="008F49EE" w:rsidP="008F49EE">
            <w:pPr>
              <w:jc w:val="right"/>
              <w:cnfStyle w:val="000000010000" w:firstRow="0" w:lastRow="0" w:firstColumn="0" w:lastColumn="0" w:oddVBand="0" w:evenVBand="0" w:oddHBand="0" w:evenHBand="1" w:firstRowFirstColumn="0" w:firstRowLastColumn="0" w:lastRowFirstColumn="0" w:lastRowLastColumn="0"/>
              <w:rPr>
                <w:b/>
                <w:color w:val="FFFFFF" w:themeColor="background1"/>
                <w:sz w:val="18"/>
                <w:szCs w:val="18"/>
              </w:rPr>
            </w:pPr>
            <w:r w:rsidRPr="008F49EE">
              <w:rPr>
                <w:b/>
                <w:color w:val="FFFFFF" w:themeColor="background1"/>
                <w:sz w:val="18"/>
                <w:szCs w:val="18"/>
              </w:rPr>
              <w:t>$1,845,</w:t>
            </w:r>
            <w:r>
              <w:rPr>
                <w:b/>
                <w:color w:val="FFFFFF" w:themeColor="background1"/>
                <w:sz w:val="18"/>
                <w:szCs w:val="18"/>
              </w:rPr>
              <w:t>0</w:t>
            </w:r>
            <w:r w:rsidRPr="008F49EE">
              <w:rPr>
                <w:b/>
                <w:color w:val="FFFFFF" w:themeColor="background1"/>
                <w:sz w:val="18"/>
                <w:szCs w:val="18"/>
              </w:rPr>
              <w:t xml:space="preserve">00 </w:t>
            </w:r>
          </w:p>
        </w:tc>
        <w:tc>
          <w:tcPr>
            <w:tcW w:w="1358" w:type="dxa"/>
            <w:tcBorders>
              <w:bottom w:val="single" w:sz="18" w:space="0" w:color="EB7D5F"/>
            </w:tcBorders>
            <w:shd w:val="clear" w:color="auto" w:fill="336E7E"/>
            <w:noWrap/>
            <w:hideMark/>
          </w:tcPr>
          <w:p w14:paraId="5BD76634" w14:textId="347DCCB2" w:rsidR="008F49EE" w:rsidRPr="008F49EE" w:rsidRDefault="008F49EE" w:rsidP="008F49EE">
            <w:pPr>
              <w:jc w:val="right"/>
              <w:cnfStyle w:val="000000010000" w:firstRow="0" w:lastRow="0" w:firstColumn="0" w:lastColumn="0" w:oddVBand="0" w:evenVBand="0" w:oddHBand="0" w:evenHBand="1" w:firstRowFirstColumn="0" w:firstRowLastColumn="0" w:lastRowFirstColumn="0" w:lastRowLastColumn="0"/>
              <w:rPr>
                <w:b/>
                <w:color w:val="FFFFFF" w:themeColor="background1"/>
                <w:sz w:val="18"/>
                <w:szCs w:val="18"/>
              </w:rPr>
            </w:pPr>
            <w:r w:rsidRPr="008F49EE">
              <w:rPr>
                <w:b/>
                <w:color w:val="FFFFFF" w:themeColor="background1"/>
                <w:sz w:val="18"/>
                <w:szCs w:val="18"/>
              </w:rPr>
              <w:t xml:space="preserve">$1,891,100 </w:t>
            </w:r>
          </w:p>
        </w:tc>
        <w:tc>
          <w:tcPr>
            <w:tcW w:w="1359" w:type="dxa"/>
            <w:tcBorders>
              <w:bottom w:val="single" w:sz="18" w:space="0" w:color="EB7D5F"/>
            </w:tcBorders>
            <w:shd w:val="clear" w:color="auto" w:fill="336E7E"/>
            <w:noWrap/>
            <w:hideMark/>
          </w:tcPr>
          <w:p w14:paraId="7178AFF4" w14:textId="56AF41B1" w:rsidR="008F49EE" w:rsidRPr="008F49EE" w:rsidRDefault="008F49EE" w:rsidP="008F49EE">
            <w:pPr>
              <w:jc w:val="right"/>
              <w:cnfStyle w:val="000000010000" w:firstRow="0" w:lastRow="0" w:firstColumn="0" w:lastColumn="0" w:oddVBand="0" w:evenVBand="0" w:oddHBand="0" w:evenHBand="1" w:firstRowFirstColumn="0" w:firstRowLastColumn="0" w:lastRowFirstColumn="0" w:lastRowLastColumn="0"/>
              <w:rPr>
                <w:b/>
                <w:color w:val="FFFFFF" w:themeColor="background1"/>
                <w:sz w:val="18"/>
                <w:szCs w:val="18"/>
              </w:rPr>
            </w:pPr>
            <w:r w:rsidRPr="008F49EE">
              <w:rPr>
                <w:b/>
                <w:color w:val="FFFFFF" w:themeColor="background1"/>
                <w:sz w:val="18"/>
                <w:szCs w:val="18"/>
              </w:rPr>
              <w:t>$1,938,</w:t>
            </w:r>
            <w:r>
              <w:rPr>
                <w:b/>
                <w:color w:val="FFFFFF" w:themeColor="background1"/>
                <w:sz w:val="18"/>
                <w:szCs w:val="18"/>
              </w:rPr>
              <w:t>4</w:t>
            </w:r>
            <w:r w:rsidRPr="008F49EE">
              <w:rPr>
                <w:b/>
                <w:color w:val="FFFFFF" w:themeColor="background1"/>
                <w:sz w:val="18"/>
                <w:szCs w:val="18"/>
              </w:rPr>
              <w:t xml:space="preserve">00 </w:t>
            </w:r>
          </w:p>
        </w:tc>
        <w:tc>
          <w:tcPr>
            <w:tcW w:w="1359" w:type="dxa"/>
            <w:tcBorders>
              <w:bottom w:val="single" w:sz="18" w:space="0" w:color="EB7D5F"/>
            </w:tcBorders>
            <w:shd w:val="clear" w:color="auto" w:fill="336E7E"/>
            <w:noWrap/>
            <w:hideMark/>
          </w:tcPr>
          <w:p w14:paraId="3E032664" w14:textId="513B1B11" w:rsidR="008F49EE" w:rsidRPr="008F49EE" w:rsidRDefault="008F49EE" w:rsidP="008F49EE">
            <w:pPr>
              <w:jc w:val="right"/>
              <w:cnfStyle w:val="000000010000" w:firstRow="0" w:lastRow="0" w:firstColumn="0" w:lastColumn="0" w:oddVBand="0" w:evenVBand="0" w:oddHBand="0" w:evenHBand="1" w:firstRowFirstColumn="0" w:firstRowLastColumn="0" w:lastRowFirstColumn="0" w:lastRowLastColumn="0"/>
              <w:rPr>
                <w:b/>
                <w:color w:val="FFFFFF" w:themeColor="background1"/>
                <w:sz w:val="18"/>
                <w:szCs w:val="18"/>
              </w:rPr>
            </w:pPr>
            <w:r w:rsidRPr="008F49EE">
              <w:rPr>
                <w:b/>
                <w:color w:val="FFFFFF" w:themeColor="background1"/>
                <w:sz w:val="18"/>
                <w:szCs w:val="18"/>
              </w:rPr>
              <w:t xml:space="preserve">$1,986,800 </w:t>
            </w:r>
          </w:p>
        </w:tc>
      </w:tr>
      <w:tr w:rsidR="008F49EE" w:rsidRPr="00C12FD2" w14:paraId="4064788F" w14:textId="77777777" w:rsidTr="008F49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7" w:type="dxa"/>
            <w:tcBorders>
              <w:top w:val="single" w:sz="18" w:space="0" w:color="EB7D5F"/>
            </w:tcBorders>
            <w:shd w:val="clear" w:color="auto" w:fill="B1CECA"/>
            <w:noWrap/>
            <w:hideMark/>
          </w:tcPr>
          <w:p w14:paraId="7347199E" w14:textId="77777777" w:rsidR="008F49EE" w:rsidRPr="00C12FD2" w:rsidRDefault="008F49EE" w:rsidP="008F49EE">
            <w:pPr>
              <w:rPr>
                <w:sz w:val="18"/>
                <w:szCs w:val="18"/>
              </w:rPr>
            </w:pPr>
            <w:r w:rsidRPr="00C12FD2">
              <w:rPr>
                <w:sz w:val="18"/>
                <w:szCs w:val="18"/>
              </w:rPr>
              <w:t>Council Staff Contribution</w:t>
            </w:r>
          </w:p>
        </w:tc>
        <w:tc>
          <w:tcPr>
            <w:tcW w:w="1358" w:type="dxa"/>
            <w:tcBorders>
              <w:top w:val="single" w:sz="18" w:space="0" w:color="EB7D5F"/>
            </w:tcBorders>
            <w:shd w:val="clear" w:color="auto" w:fill="B1CECA"/>
            <w:noWrap/>
            <w:hideMark/>
          </w:tcPr>
          <w:p w14:paraId="09AEBF9B" w14:textId="4C033F61" w:rsidR="008F49EE" w:rsidRPr="008F49EE" w:rsidRDefault="008F49EE" w:rsidP="008F4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8F49EE">
              <w:rPr>
                <w:color w:val="000000"/>
                <w:sz w:val="18"/>
                <w:szCs w:val="18"/>
              </w:rPr>
              <w:t xml:space="preserve">$185,600 </w:t>
            </w:r>
          </w:p>
        </w:tc>
        <w:tc>
          <w:tcPr>
            <w:tcW w:w="1359" w:type="dxa"/>
            <w:tcBorders>
              <w:top w:val="single" w:sz="18" w:space="0" w:color="EB7D5F"/>
            </w:tcBorders>
            <w:shd w:val="clear" w:color="auto" w:fill="B1CECA"/>
            <w:noWrap/>
            <w:hideMark/>
          </w:tcPr>
          <w:p w14:paraId="0FF964DE" w14:textId="18BBCAD7" w:rsidR="008F49EE" w:rsidRPr="008F49EE" w:rsidRDefault="008F49EE" w:rsidP="008F4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8F49EE">
              <w:rPr>
                <w:color w:val="000000"/>
                <w:sz w:val="18"/>
                <w:szCs w:val="18"/>
              </w:rPr>
              <w:t xml:space="preserve">$190,300 </w:t>
            </w:r>
          </w:p>
        </w:tc>
        <w:tc>
          <w:tcPr>
            <w:tcW w:w="1358" w:type="dxa"/>
            <w:tcBorders>
              <w:top w:val="single" w:sz="18" w:space="0" w:color="EB7D5F"/>
            </w:tcBorders>
            <w:shd w:val="clear" w:color="auto" w:fill="B1CECA"/>
            <w:noWrap/>
            <w:hideMark/>
          </w:tcPr>
          <w:p w14:paraId="6D9F5E08" w14:textId="6A2C6756" w:rsidR="008F49EE" w:rsidRPr="008F49EE" w:rsidRDefault="008F49EE" w:rsidP="008F4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8F49EE">
              <w:rPr>
                <w:color w:val="000000"/>
                <w:sz w:val="18"/>
                <w:szCs w:val="18"/>
              </w:rPr>
              <w:t xml:space="preserve">$195,000 </w:t>
            </w:r>
          </w:p>
        </w:tc>
        <w:tc>
          <w:tcPr>
            <w:tcW w:w="1359" w:type="dxa"/>
            <w:tcBorders>
              <w:top w:val="single" w:sz="18" w:space="0" w:color="EB7D5F"/>
            </w:tcBorders>
            <w:shd w:val="clear" w:color="auto" w:fill="B1CECA"/>
            <w:noWrap/>
            <w:hideMark/>
          </w:tcPr>
          <w:p w14:paraId="15E73A64" w14:textId="43D27A21" w:rsidR="008F49EE" w:rsidRPr="008F49EE" w:rsidRDefault="008F49EE" w:rsidP="008F4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8F49EE">
              <w:rPr>
                <w:color w:val="000000"/>
                <w:sz w:val="18"/>
                <w:szCs w:val="18"/>
              </w:rPr>
              <w:t xml:space="preserve">$199,900 </w:t>
            </w:r>
          </w:p>
        </w:tc>
        <w:tc>
          <w:tcPr>
            <w:tcW w:w="1359" w:type="dxa"/>
            <w:tcBorders>
              <w:top w:val="single" w:sz="18" w:space="0" w:color="EB7D5F"/>
            </w:tcBorders>
            <w:shd w:val="clear" w:color="auto" w:fill="B1CECA"/>
            <w:noWrap/>
            <w:hideMark/>
          </w:tcPr>
          <w:p w14:paraId="62B7CDF1" w14:textId="3D52F41F" w:rsidR="008F49EE" w:rsidRPr="008F49EE" w:rsidRDefault="008F49EE" w:rsidP="008F4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8F49EE">
              <w:rPr>
                <w:color w:val="000000"/>
                <w:sz w:val="18"/>
                <w:szCs w:val="18"/>
              </w:rPr>
              <w:t xml:space="preserve">$204,900 </w:t>
            </w:r>
          </w:p>
        </w:tc>
      </w:tr>
    </w:tbl>
    <w:p w14:paraId="6971CFE7" w14:textId="77777777" w:rsidR="005263DE" w:rsidRDefault="005263DE" w:rsidP="006F31D0"/>
    <w:p w14:paraId="4E41B579" w14:textId="77777777" w:rsidR="00594F56" w:rsidRDefault="00594F56" w:rsidP="00CD3AD5">
      <w:pPr>
        <w:pStyle w:val="Heading1"/>
      </w:pPr>
      <w:r>
        <w:t>Activities and Budget</w:t>
      </w:r>
    </w:p>
    <w:p w14:paraId="404EE4B3" w14:textId="03C8E49F" w:rsidR="003F23EA" w:rsidRDefault="00015586" w:rsidP="00847E02">
      <w:r>
        <w:t>The specific tasks contained</w:t>
      </w:r>
      <w:r w:rsidR="00686A75">
        <w:t xml:space="preserve"> in this business plan are driven by existing measure work, anticipated growth for new measure requests, and expectations for future analysis tied to regional research or planning efforts. The specific work in any calendar year is largely driven by the existing measure needs and any </w:t>
      </w:r>
      <w:r>
        <w:t xml:space="preserve">requests </w:t>
      </w:r>
      <w:r w:rsidR="002A3719">
        <w:t xml:space="preserve">received </w:t>
      </w:r>
      <w:r>
        <w:t xml:space="preserve">from parties within the region, primarily utilities, Bonneville, the Energy Trust of Oregon, NEEA, and </w:t>
      </w:r>
      <w:r w:rsidR="00686A75">
        <w:t xml:space="preserve">Council staff. The RTF solicits topics from stakeholders through an annual request as part of the work planning and </w:t>
      </w:r>
      <w:r w:rsidR="00D0546D">
        <w:t xml:space="preserve">through </w:t>
      </w:r>
      <w:r w:rsidR="00686A75">
        <w:t xml:space="preserve">an online form for proposing new measures. Each year, </w:t>
      </w:r>
      <w:r>
        <w:t xml:space="preserve">the RTF typically adjusts the allocation of resources among the categories in its work plan based on requests received, proposals, and the pace of multi-year projects. The RTF notifies the Council and its funders of all significant </w:t>
      </w:r>
      <w:r w:rsidRPr="002255B3">
        <w:t>reallocation of resources or priorities.</w:t>
      </w:r>
      <w:r w:rsidR="002255B3">
        <w:fldChar w:fldCharType="begin"/>
      </w:r>
      <w:r w:rsidR="002255B3">
        <w:instrText xml:space="preserve"> REF _Ref11233209 \h </w:instrText>
      </w:r>
      <w:r w:rsidR="002255B3">
        <w:fldChar w:fldCharType="separate"/>
      </w:r>
    </w:p>
    <w:p w14:paraId="0FDD33F6" w14:textId="2F7C7075" w:rsidR="00DE7675" w:rsidRDefault="003F23EA" w:rsidP="00847E02">
      <w:r>
        <w:t xml:space="preserve">Table </w:t>
      </w:r>
      <w:r>
        <w:rPr>
          <w:noProof/>
        </w:rPr>
        <w:t>3</w:t>
      </w:r>
      <w:r w:rsidR="002255B3">
        <w:fldChar w:fldCharType="end"/>
      </w:r>
      <w:r w:rsidR="002255B3">
        <w:t xml:space="preserve"> </w:t>
      </w:r>
      <w:r w:rsidR="00686A75" w:rsidRPr="002255B3">
        <w:t>provides an overview of the anticipated allocation of work for the 2020-2024 business plan cycle</w:t>
      </w:r>
      <w:r w:rsidR="00DE7675">
        <w:t xml:space="preserve">, and </w:t>
      </w:r>
      <w:r w:rsidR="00DE7675">
        <w:rPr>
          <w:color w:val="9E4A30"/>
        </w:rPr>
        <w:fldChar w:fldCharType="begin"/>
      </w:r>
      <w:r w:rsidR="00DE7675">
        <w:instrText xml:space="preserve"> REF _Ref11233868 \h  \* MERGEFORMAT </w:instrText>
      </w:r>
      <w:r w:rsidR="00DE7675">
        <w:rPr>
          <w:color w:val="9E4A30"/>
        </w:rPr>
      </w:r>
      <w:r w:rsidR="00DE7675">
        <w:rPr>
          <w:color w:val="9E4A30"/>
        </w:rPr>
        <w:fldChar w:fldCharType="separate"/>
      </w:r>
      <w:r w:rsidR="00DE7675">
        <w:t xml:space="preserve">Table </w:t>
      </w:r>
      <w:r w:rsidR="00DE7675">
        <w:rPr>
          <w:noProof/>
        </w:rPr>
        <w:t>4</w:t>
      </w:r>
      <w:r w:rsidR="00DE7675">
        <w:fldChar w:fldCharType="end"/>
      </w:r>
      <w:r w:rsidR="00DE7675">
        <w:t xml:space="preserve"> </w:t>
      </w:r>
      <w:r w:rsidR="00DE7675" w:rsidRPr="002255B3">
        <w:t>provides a detailed breakdown of activities for 202</w:t>
      </w:r>
      <w:r w:rsidR="00DE7675">
        <w:t>1</w:t>
      </w:r>
      <w:r w:rsidR="00DE7675" w:rsidRPr="002255B3">
        <w:t>.</w:t>
      </w:r>
      <w:r w:rsidR="00DE7675">
        <w:t xml:space="preserve"> Annual changes in </w:t>
      </w:r>
      <w:r w:rsidR="00DE7675">
        <w:fldChar w:fldCharType="begin"/>
      </w:r>
      <w:r w:rsidR="00DE7675">
        <w:instrText xml:space="preserve"> REF _Ref11233937 \h </w:instrText>
      </w:r>
      <w:r w:rsidR="00DE7675">
        <w:fldChar w:fldCharType="separate"/>
      </w:r>
      <w:r w:rsidR="00DE7675">
        <w:t xml:space="preserve">Table </w:t>
      </w:r>
      <w:r w:rsidR="00DE7675">
        <w:rPr>
          <w:noProof/>
        </w:rPr>
        <w:t>3</w:t>
      </w:r>
      <w:r w:rsidR="00DE7675">
        <w:fldChar w:fldCharType="end"/>
      </w:r>
      <w:r w:rsidR="00DE7675">
        <w:t xml:space="preserve"> budgets represent anticipated shifts in work between measure analysis and other analytical support through tools and regional coordination. More details on those shifts are provided below.</w:t>
      </w:r>
    </w:p>
    <w:p w14:paraId="7BFF6491" w14:textId="59FAE939" w:rsidR="00DE7675" w:rsidRDefault="00DE7675" w:rsidP="00DE7675">
      <w:pPr>
        <w:pStyle w:val="TableTitle"/>
      </w:pPr>
      <w:bookmarkStart w:id="0" w:name="_Ref11233937"/>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0"/>
      <w:r>
        <w:t xml:space="preserve">: </w:t>
      </w:r>
      <w:r w:rsidR="00A6531C">
        <w:t xml:space="preserve">Strategic Plan </w:t>
      </w:r>
      <w:r>
        <w:t>Funding, by high level category, excluding Council contribution</w:t>
      </w:r>
    </w:p>
    <w:tbl>
      <w:tblPr>
        <w:tblStyle w:val="RTFTable"/>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45"/>
        <w:gridCol w:w="1261"/>
        <w:gridCol w:w="1261"/>
        <w:gridCol w:w="1261"/>
        <w:gridCol w:w="1261"/>
        <w:gridCol w:w="1261"/>
      </w:tblGrid>
      <w:tr w:rsidR="00DE7675" w:rsidRPr="00F1394E" w14:paraId="6E00182F" w14:textId="77777777" w:rsidTr="006E511D">
        <w:trPr>
          <w:cnfStyle w:val="100000000000" w:firstRow="1" w:lastRow="0" w:firstColumn="0" w:lastColumn="0" w:oddVBand="0" w:evenVBand="0" w:oddHBand="0" w:evenHBand="0" w:firstRowFirstColumn="0" w:firstRowLastColumn="0" w:lastRowFirstColumn="0" w:lastRowLastColumn="0"/>
          <w:cantSplit/>
          <w:trHeight w:val="315"/>
        </w:trPr>
        <w:tc>
          <w:tcPr>
            <w:cnfStyle w:val="001000000100" w:firstRow="0" w:lastRow="0" w:firstColumn="1" w:lastColumn="0" w:oddVBand="0" w:evenVBand="0" w:oddHBand="0" w:evenHBand="0" w:firstRowFirstColumn="1" w:firstRowLastColumn="0" w:lastRowFirstColumn="0" w:lastRowLastColumn="0"/>
            <w:tcW w:w="3045" w:type="dxa"/>
            <w:noWrap/>
            <w:hideMark/>
          </w:tcPr>
          <w:p w14:paraId="0FC214A7" w14:textId="77777777" w:rsidR="00DE7675" w:rsidRPr="00F1394E" w:rsidRDefault="00DE7675" w:rsidP="006E511D">
            <w:pPr>
              <w:rPr>
                <w:b/>
                <w:sz w:val="18"/>
                <w:szCs w:val="18"/>
              </w:rPr>
            </w:pPr>
            <w:r w:rsidRPr="00F1394E">
              <w:rPr>
                <w:b/>
                <w:sz w:val="18"/>
                <w:szCs w:val="18"/>
              </w:rPr>
              <w:t>Subtotal Funders</w:t>
            </w:r>
          </w:p>
        </w:tc>
        <w:tc>
          <w:tcPr>
            <w:tcW w:w="1261" w:type="dxa"/>
            <w:hideMark/>
          </w:tcPr>
          <w:p w14:paraId="239EF574" w14:textId="77777777" w:rsidR="00DE7675" w:rsidRPr="00F1394E" w:rsidRDefault="00DE7675" w:rsidP="006E511D">
            <w:pPr>
              <w:cnfStyle w:val="100000000000" w:firstRow="1" w:lastRow="0" w:firstColumn="0" w:lastColumn="0" w:oddVBand="0" w:evenVBand="0" w:oddHBand="0" w:evenHBand="0" w:firstRowFirstColumn="0" w:firstRowLastColumn="0" w:lastRowFirstColumn="0" w:lastRowLastColumn="0"/>
              <w:rPr>
                <w:b/>
                <w:sz w:val="18"/>
                <w:szCs w:val="18"/>
              </w:rPr>
            </w:pPr>
            <w:r w:rsidRPr="00F1394E">
              <w:rPr>
                <w:b/>
                <w:sz w:val="18"/>
                <w:szCs w:val="18"/>
              </w:rPr>
              <w:t>2020</w:t>
            </w:r>
          </w:p>
        </w:tc>
        <w:tc>
          <w:tcPr>
            <w:tcW w:w="1261" w:type="dxa"/>
            <w:hideMark/>
          </w:tcPr>
          <w:p w14:paraId="243B321E" w14:textId="77777777" w:rsidR="00DE7675" w:rsidRPr="00F1394E" w:rsidRDefault="00DE7675" w:rsidP="006E511D">
            <w:pPr>
              <w:cnfStyle w:val="100000000000" w:firstRow="1" w:lastRow="0" w:firstColumn="0" w:lastColumn="0" w:oddVBand="0" w:evenVBand="0" w:oddHBand="0" w:evenHBand="0" w:firstRowFirstColumn="0" w:firstRowLastColumn="0" w:lastRowFirstColumn="0" w:lastRowLastColumn="0"/>
              <w:rPr>
                <w:b/>
                <w:sz w:val="18"/>
                <w:szCs w:val="18"/>
              </w:rPr>
            </w:pPr>
            <w:r w:rsidRPr="00F1394E">
              <w:rPr>
                <w:b/>
                <w:sz w:val="18"/>
                <w:szCs w:val="18"/>
              </w:rPr>
              <w:t>2021</w:t>
            </w:r>
          </w:p>
        </w:tc>
        <w:tc>
          <w:tcPr>
            <w:tcW w:w="1261" w:type="dxa"/>
            <w:hideMark/>
          </w:tcPr>
          <w:p w14:paraId="0DFE6D9C" w14:textId="77777777" w:rsidR="00DE7675" w:rsidRPr="00F1394E" w:rsidRDefault="00DE7675" w:rsidP="006E511D">
            <w:pPr>
              <w:cnfStyle w:val="100000000000" w:firstRow="1" w:lastRow="0" w:firstColumn="0" w:lastColumn="0" w:oddVBand="0" w:evenVBand="0" w:oddHBand="0" w:evenHBand="0" w:firstRowFirstColumn="0" w:firstRowLastColumn="0" w:lastRowFirstColumn="0" w:lastRowLastColumn="0"/>
              <w:rPr>
                <w:b/>
                <w:sz w:val="18"/>
                <w:szCs w:val="18"/>
              </w:rPr>
            </w:pPr>
            <w:r w:rsidRPr="00F1394E">
              <w:rPr>
                <w:b/>
                <w:sz w:val="18"/>
                <w:szCs w:val="18"/>
              </w:rPr>
              <w:t>2022</w:t>
            </w:r>
          </w:p>
        </w:tc>
        <w:tc>
          <w:tcPr>
            <w:tcW w:w="1261" w:type="dxa"/>
            <w:hideMark/>
          </w:tcPr>
          <w:p w14:paraId="74BFC2CD" w14:textId="77777777" w:rsidR="00DE7675" w:rsidRPr="00F1394E" w:rsidRDefault="00DE7675" w:rsidP="006E511D">
            <w:pPr>
              <w:cnfStyle w:val="100000000000" w:firstRow="1" w:lastRow="0" w:firstColumn="0" w:lastColumn="0" w:oddVBand="0" w:evenVBand="0" w:oddHBand="0" w:evenHBand="0" w:firstRowFirstColumn="0" w:firstRowLastColumn="0" w:lastRowFirstColumn="0" w:lastRowLastColumn="0"/>
              <w:rPr>
                <w:b/>
                <w:sz w:val="18"/>
                <w:szCs w:val="18"/>
              </w:rPr>
            </w:pPr>
            <w:r w:rsidRPr="00F1394E">
              <w:rPr>
                <w:b/>
                <w:sz w:val="18"/>
                <w:szCs w:val="18"/>
              </w:rPr>
              <w:t>2023</w:t>
            </w:r>
          </w:p>
        </w:tc>
        <w:tc>
          <w:tcPr>
            <w:tcW w:w="1261" w:type="dxa"/>
            <w:hideMark/>
          </w:tcPr>
          <w:p w14:paraId="7BA11719" w14:textId="77777777" w:rsidR="00DE7675" w:rsidRPr="00F1394E" w:rsidRDefault="00DE7675" w:rsidP="006E511D">
            <w:pPr>
              <w:cnfStyle w:val="100000000000" w:firstRow="1" w:lastRow="0" w:firstColumn="0" w:lastColumn="0" w:oddVBand="0" w:evenVBand="0" w:oddHBand="0" w:evenHBand="0" w:firstRowFirstColumn="0" w:firstRowLastColumn="0" w:lastRowFirstColumn="0" w:lastRowLastColumn="0"/>
              <w:rPr>
                <w:b/>
                <w:sz w:val="18"/>
                <w:szCs w:val="18"/>
              </w:rPr>
            </w:pPr>
            <w:r w:rsidRPr="00F1394E">
              <w:rPr>
                <w:b/>
                <w:sz w:val="18"/>
                <w:szCs w:val="18"/>
              </w:rPr>
              <w:t>2024</w:t>
            </w:r>
          </w:p>
        </w:tc>
      </w:tr>
      <w:tr w:rsidR="00DE7675" w:rsidRPr="00F1394E" w14:paraId="4B52F59C" w14:textId="77777777" w:rsidTr="006E511D">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3045" w:type="dxa"/>
            <w:shd w:val="clear" w:color="auto" w:fill="EDE4D5"/>
            <w:noWrap/>
            <w:hideMark/>
          </w:tcPr>
          <w:p w14:paraId="14ACB7E4" w14:textId="77777777" w:rsidR="00DE7675" w:rsidRPr="00F1394E" w:rsidRDefault="00DE7675" w:rsidP="006E511D">
            <w:pPr>
              <w:rPr>
                <w:sz w:val="18"/>
                <w:szCs w:val="18"/>
              </w:rPr>
            </w:pPr>
            <w:r w:rsidRPr="00F1394E">
              <w:rPr>
                <w:sz w:val="18"/>
                <w:szCs w:val="18"/>
              </w:rPr>
              <w:t>Measure Analysis</w:t>
            </w:r>
          </w:p>
        </w:tc>
        <w:tc>
          <w:tcPr>
            <w:tcW w:w="1261" w:type="dxa"/>
            <w:shd w:val="clear" w:color="auto" w:fill="EDE4D5"/>
            <w:noWrap/>
            <w:hideMark/>
          </w:tcPr>
          <w:p w14:paraId="41176033" w14:textId="77777777" w:rsidR="00DE7675" w:rsidRPr="00C54144" w:rsidRDefault="00DE7675" w:rsidP="006E511D">
            <w:pPr>
              <w:jc w:val="right"/>
              <w:cnfStyle w:val="000000100000" w:firstRow="0" w:lastRow="0" w:firstColumn="0" w:lastColumn="0" w:oddVBand="0" w:evenVBand="0" w:oddHBand="1" w:evenHBand="0" w:firstRowFirstColumn="0" w:firstRowLastColumn="0" w:lastRowFirstColumn="0" w:lastRowLastColumn="0"/>
              <w:rPr>
                <w:sz w:val="18"/>
                <w:szCs w:val="18"/>
              </w:rPr>
            </w:pPr>
            <w:r w:rsidRPr="00C54144">
              <w:rPr>
                <w:color w:val="000000"/>
                <w:sz w:val="18"/>
                <w:szCs w:val="18"/>
              </w:rPr>
              <w:t xml:space="preserve">$971,000 </w:t>
            </w:r>
          </w:p>
        </w:tc>
        <w:tc>
          <w:tcPr>
            <w:tcW w:w="1261" w:type="dxa"/>
            <w:shd w:val="clear" w:color="auto" w:fill="EDE4D5"/>
            <w:noWrap/>
            <w:hideMark/>
          </w:tcPr>
          <w:p w14:paraId="38D24B1C" w14:textId="77777777" w:rsidR="00DE7675" w:rsidRPr="00C54144" w:rsidRDefault="00DE7675" w:rsidP="006E511D">
            <w:pPr>
              <w:jc w:val="right"/>
              <w:cnfStyle w:val="000000100000" w:firstRow="0" w:lastRow="0" w:firstColumn="0" w:lastColumn="0" w:oddVBand="0" w:evenVBand="0" w:oddHBand="1" w:evenHBand="0" w:firstRowFirstColumn="0" w:firstRowLastColumn="0" w:lastRowFirstColumn="0" w:lastRowLastColumn="0"/>
              <w:rPr>
                <w:sz w:val="18"/>
                <w:szCs w:val="18"/>
              </w:rPr>
            </w:pPr>
            <w:r w:rsidRPr="00C54144">
              <w:rPr>
                <w:color w:val="000000"/>
                <w:sz w:val="18"/>
                <w:szCs w:val="18"/>
              </w:rPr>
              <w:t>$916,</w:t>
            </w:r>
            <w:r>
              <w:rPr>
                <w:color w:val="000000"/>
                <w:sz w:val="18"/>
                <w:szCs w:val="18"/>
              </w:rPr>
              <w:t>3</w:t>
            </w:r>
            <w:r w:rsidRPr="00C54144">
              <w:rPr>
                <w:color w:val="000000"/>
                <w:sz w:val="18"/>
                <w:szCs w:val="18"/>
              </w:rPr>
              <w:t xml:space="preserve">00 </w:t>
            </w:r>
          </w:p>
        </w:tc>
        <w:tc>
          <w:tcPr>
            <w:tcW w:w="1261" w:type="dxa"/>
            <w:shd w:val="clear" w:color="auto" w:fill="EDE4D5"/>
            <w:noWrap/>
            <w:hideMark/>
          </w:tcPr>
          <w:p w14:paraId="76984F0E" w14:textId="77777777" w:rsidR="00DE7675" w:rsidRPr="00C54144" w:rsidRDefault="00DE7675" w:rsidP="006E511D">
            <w:pPr>
              <w:jc w:val="right"/>
              <w:cnfStyle w:val="000000100000" w:firstRow="0" w:lastRow="0" w:firstColumn="0" w:lastColumn="0" w:oddVBand="0" w:evenVBand="0" w:oddHBand="1" w:evenHBand="0" w:firstRowFirstColumn="0" w:firstRowLastColumn="0" w:lastRowFirstColumn="0" w:lastRowLastColumn="0"/>
              <w:rPr>
                <w:sz w:val="18"/>
                <w:szCs w:val="18"/>
              </w:rPr>
            </w:pPr>
            <w:r w:rsidRPr="00C54144">
              <w:rPr>
                <w:color w:val="000000"/>
                <w:sz w:val="18"/>
                <w:szCs w:val="18"/>
              </w:rPr>
              <w:t>$883,</w:t>
            </w:r>
            <w:r>
              <w:rPr>
                <w:color w:val="000000"/>
                <w:sz w:val="18"/>
                <w:szCs w:val="18"/>
              </w:rPr>
              <w:t>5</w:t>
            </w:r>
            <w:r w:rsidRPr="00C54144">
              <w:rPr>
                <w:color w:val="000000"/>
                <w:sz w:val="18"/>
                <w:szCs w:val="18"/>
              </w:rPr>
              <w:t xml:space="preserve">00 </w:t>
            </w:r>
          </w:p>
        </w:tc>
        <w:tc>
          <w:tcPr>
            <w:tcW w:w="1261" w:type="dxa"/>
            <w:shd w:val="clear" w:color="auto" w:fill="EDE4D5"/>
            <w:noWrap/>
            <w:hideMark/>
          </w:tcPr>
          <w:p w14:paraId="4C1DBCC7" w14:textId="77777777" w:rsidR="00DE7675" w:rsidRPr="00C54144" w:rsidRDefault="00DE7675" w:rsidP="006E511D">
            <w:pPr>
              <w:jc w:val="right"/>
              <w:cnfStyle w:val="000000100000" w:firstRow="0" w:lastRow="0" w:firstColumn="0" w:lastColumn="0" w:oddVBand="0" w:evenVBand="0" w:oddHBand="1" w:evenHBand="0" w:firstRowFirstColumn="0" w:firstRowLastColumn="0" w:lastRowFirstColumn="0" w:lastRowLastColumn="0"/>
              <w:rPr>
                <w:sz w:val="18"/>
                <w:szCs w:val="18"/>
              </w:rPr>
            </w:pPr>
            <w:r w:rsidRPr="00C54144">
              <w:rPr>
                <w:color w:val="000000"/>
                <w:sz w:val="18"/>
                <w:szCs w:val="18"/>
              </w:rPr>
              <w:t>$928,</w:t>
            </w:r>
            <w:r>
              <w:rPr>
                <w:color w:val="000000"/>
                <w:sz w:val="18"/>
                <w:szCs w:val="18"/>
              </w:rPr>
              <w:t>4</w:t>
            </w:r>
            <w:r w:rsidRPr="00C54144">
              <w:rPr>
                <w:color w:val="000000"/>
                <w:sz w:val="18"/>
                <w:szCs w:val="18"/>
              </w:rPr>
              <w:t xml:space="preserve">00 </w:t>
            </w:r>
          </w:p>
        </w:tc>
        <w:tc>
          <w:tcPr>
            <w:tcW w:w="1261" w:type="dxa"/>
            <w:shd w:val="clear" w:color="auto" w:fill="EDE4D5"/>
            <w:noWrap/>
            <w:hideMark/>
          </w:tcPr>
          <w:p w14:paraId="2BDFFF54" w14:textId="77777777" w:rsidR="00DE7675" w:rsidRPr="00C54144" w:rsidRDefault="00DE7675" w:rsidP="006E511D">
            <w:pPr>
              <w:jc w:val="right"/>
              <w:cnfStyle w:val="000000100000" w:firstRow="0" w:lastRow="0" w:firstColumn="0" w:lastColumn="0" w:oddVBand="0" w:evenVBand="0" w:oddHBand="1" w:evenHBand="0" w:firstRowFirstColumn="0" w:firstRowLastColumn="0" w:lastRowFirstColumn="0" w:lastRowLastColumn="0"/>
              <w:rPr>
                <w:sz w:val="18"/>
                <w:szCs w:val="18"/>
              </w:rPr>
            </w:pPr>
            <w:r w:rsidRPr="00C54144">
              <w:rPr>
                <w:color w:val="000000"/>
                <w:sz w:val="18"/>
                <w:szCs w:val="18"/>
              </w:rPr>
              <w:t>$1,029,</w:t>
            </w:r>
            <w:r>
              <w:rPr>
                <w:color w:val="000000"/>
                <w:sz w:val="18"/>
                <w:szCs w:val="18"/>
              </w:rPr>
              <w:t>9</w:t>
            </w:r>
            <w:r w:rsidRPr="00C54144">
              <w:rPr>
                <w:color w:val="000000"/>
                <w:sz w:val="18"/>
                <w:szCs w:val="18"/>
              </w:rPr>
              <w:t xml:space="preserve">00 </w:t>
            </w:r>
          </w:p>
        </w:tc>
      </w:tr>
      <w:tr w:rsidR="00DE7675" w:rsidRPr="00F1394E" w14:paraId="03EAAE67" w14:textId="77777777" w:rsidTr="006E511D">
        <w:trPr>
          <w:cnfStyle w:val="000000010000" w:firstRow="0" w:lastRow="0" w:firstColumn="0" w:lastColumn="0" w:oddVBand="0" w:evenVBand="0" w:oddHBand="0" w:evenHBand="1"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3045" w:type="dxa"/>
            <w:shd w:val="clear" w:color="auto" w:fill="B1CECA"/>
            <w:noWrap/>
            <w:hideMark/>
          </w:tcPr>
          <w:p w14:paraId="48A52F13" w14:textId="77777777" w:rsidR="00DE7675" w:rsidRPr="00F1394E" w:rsidRDefault="00DE7675" w:rsidP="006E511D">
            <w:pPr>
              <w:rPr>
                <w:sz w:val="18"/>
                <w:szCs w:val="18"/>
              </w:rPr>
            </w:pPr>
            <w:r w:rsidRPr="00F1394E">
              <w:rPr>
                <w:sz w:val="18"/>
                <w:szCs w:val="18"/>
              </w:rPr>
              <w:t>Tools</w:t>
            </w:r>
            <w:r>
              <w:rPr>
                <w:sz w:val="18"/>
                <w:szCs w:val="18"/>
              </w:rPr>
              <w:t xml:space="preserve"> and </w:t>
            </w:r>
            <w:r w:rsidRPr="00F1394E">
              <w:rPr>
                <w:sz w:val="18"/>
                <w:szCs w:val="18"/>
              </w:rPr>
              <w:t>Regional Coordination</w:t>
            </w:r>
          </w:p>
        </w:tc>
        <w:tc>
          <w:tcPr>
            <w:tcW w:w="1261" w:type="dxa"/>
            <w:shd w:val="clear" w:color="auto" w:fill="B1CECA"/>
            <w:noWrap/>
            <w:hideMark/>
          </w:tcPr>
          <w:p w14:paraId="040BB7BC" w14:textId="77777777" w:rsidR="00DE7675" w:rsidRPr="00C54144" w:rsidRDefault="00DE7675" w:rsidP="006E511D">
            <w:pPr>
              <w:jc w:val="right"/>
              <w:cnfStyle w:val="000000010000" w:firstRow="0" w:lastRow="0" w:firstColumn="0" w:lastColumn="0" w:oddVBand="0" w:evenVBand="0" w:oddHBand="0" w:evenHBand="1" w:firstRowFirstColumn="0" w:firstRowLastColumn="0" w:lastRowFirstColumn="0" w:lastRowLastColumn="0"/>
              <w:rPr>
                <w:sz w:val="18"/>
                <w:szCs w:val="18"/>
              </w:rPr>
            </w:pPr>
            <w:r w:rsidRPr="00C54144">
              <w:rPr>
                <w:color w:val="000000"/>
                <w:sz w:val="18"/>
                <w:szCs w:val="18"/>
              </w:rPr>
              <w:t xml:space="preserve">$275,000 </w:t>
            </w:r>
          </w:p>
        </w:tc>
        <w:tc>
          <w:tcPr>
            <w:tcW w:w="1261" w:type="dxa"/>
            <w:shd w:val="clear" w:color="auto" w:fill="B1CECA"/>
            <w:noWrap/>
            <w:hideMark/>
          </w:tcPr>
          <w:p w14:paraId="509453E1" w14:textId="77777777" w:rsidR="00DE7675" w:rsidRPr="00C54144" w:rsidRDefault="00DE7675" w:rsidP="006E511D">
            <w:pPr>
              <w:jc w:val="right"/>
              <w:cnfStyle w:val="000000010000" w:firstRow="0" w:lastRow="0" w:firstColumn="0" w:lastColumn="0" w:oddVBand="0" w:evenVBand="0" w:oddHBand="0" w:evenHBand="1" w:firstRowFirstColumn="0" w:firstRowLastColumn="0" w:lastRowFirstColumn="0" w:lastRowLastColumn="0"/>
              <w:rPr>
                <w:sz w:val="18"/>
                <w:szCs w:val="18"/>
              </w:rPr>
            </w:pPr>
            <w:r w:rsidRPr="00C54144">
              <w:rPr>
                <w:color w:val="000000"/>
                <w:sz w:val="18"/>
                <w:szCs w:val="18"/>
              </w:rPr>
              <w:t>$360,</w:t>
            </w:r>
            <w:r>
              <w:rPr>
                <w:color w:val="000000"/>
                <w:sz w:val="18"/>
                <w:szCs w:val="18"/>
              </w:rPr>
              <w:t>8</w:t>
            </w:r>
            <w:r w:rsidRPr="00C54144">
              <w:rPr>
                <w:color w:val="000000"/>
                <w:sz w:val="18"/>
                <w:szCs w:val="18"/>
              </w:rPr>
              <w:t xml:space="preserve">00 </w:t>
            </w:r>
          </w:p>
        </w:tc>
        <w:tc>
          <w:tcPr>
            <w:tcW w:w="1261" w:type="dxa"/>
            <w:shd w:val="clear" w:color="auto" w:fill="B1CECA"/>
            <w:noWrap/>
            <w:hideMark/>
          </w:tcPr>
          <w:p w14:paraId="6562BB7F" w14:textId="77777777" w:rsidR="00DE7675" w:rsidRPr="00C54144" w:rsidRDefault="00DE7675" w:rsidP="006E511D">
            <w:pPr>
              <w:jc w:val="right"/>
              <w:cnfStyle w:val="000000010000" w:firstRow="0" w:lastRow="0" w:firstColumn="0" w:lastColumn="0" w:oddVBand="0" w:evenVBand="0" w:oddHBand="0" w:evenHBand="1" w:firstRowFirstColumn="0" w:firstRowLastColumn="0" w:lastRowFirstColumn="0" w:lastRowLastColumn="0"/>
              <w:rPr>
                <w:sz w:val="18"/>
                <w:szCs w:val="18"/>
              </w:rPr>
            </w:pPr>
            <w:r w:rsidRPr="00C54144">
              <w:rPr>
                <w:color w:val="000000"/>
                <w:sz w:val="18"/>
                <w:szCs w:val="18"/>
              </w:rPr>
              <w:t>$425,</w:t>
            </w:r>
            <w:r>
              <w:rPr>
                <w:color w:val="000000"/>
                <w:sz w:val="18"/>
                <w:szCs w:val="18"/>
              </w:rPr>
              <w:t>6</w:t>
            </w:r>
            <w:r w:rsidRPr="00C54144">
              <w:rPr>
                <w:color w:val="000000"/>
                <w:sz w:val="18"/>
                <w:szCs w:val="18"/>
              </w:rPr>
              <w:t xml:space="preserve">00 </w:t>
            </w:r>
          </w:p>
        </w:tc>
        <w:tc>
          <w:tcPr>
            <w:tcW w:w="1261" w:type="dxa"/>
            <w:shd w:val="clear" w:color="auto" w:fill="B1CECA"/>
            <w:noWrap/>
            <w:hideMark/>
          </w:tcPr>
          <w:p w14:paraId="17BFF266" w14:textId="77777777" w:rsidR="00DE7675" w:rsidRPr="00C54144" w:rsidRDefault="00DE7675" w:rsidP="006E511D">
            <w:pPr>
              <w:jc w:val="right"/>
              <w:cnfStyle w:val="000000010000" w:firstRow="0" w:lastRow="0" w:firstColumn="0" w:lastColumn="0" w:oddVBand="0" w:evenVBand="0" w:oddHBand="0" w:evenHBand="1" w:firstRowFirstColumn="0" w:firstRowLastColumn="0" w:lastRowFirstColumn="0" w:lastRowLastColumn="0"/>
              <w:rPr>
                <w:sz w:val="18"/>
                <w:szCs w:val="18"/>
              </w:rPr>
            </w:pPr>
            <w:r w:rsidRPr="00C54144">
              <w:rPr>
                <w:color w:val="000000"/>
                <w:sz w:val="18"/>
                <w:szCs w:val="18"/>
              </w:rPr>
              <w:t xml:space="preserve">$413,500 </w:t>
            </w:r>
          </w:p>
        </w:tc>
        <w:tc>
          <w:tcPr>
            <w:tcW w:w="1261" w:type="dxa"/>
            <w:shd w:val="clear" w:color="auto" w:fill="B1CECA"/>
            <w:noWrap/>
            <w:hideMark/>
          </w:tcPr>
          <w:p w14:paraId="39C2DED0" w14:textId="77777777" w:rsidR="00DE7675" w:rsidRPr="00C54144" w:rsidRDefault="00DE7675" w:rsidP="006E511D">
            <w:pPr>
              <w:jc w:val="right"/>
              <w:cnfStyle w:val="000000010000" w:firstRow="0" w:lastRow="0" w:firstColumn="0" w:lastColumn="0" w:oddVBand="0" w:evenVBand="0" w:oddHBand="0" w:evenHBand="1" w:firstRowFirstColumn="0" w:firstRowLastColumn="0" w:lastRowFirstColumn="0" w:lastRowLastColumn="0"/>
              <w:rPr>
                <w:sz w:val="18"/>
                <w:szCs w:val="18"/>
              </w:rPr>
            </w:pPr>
            <w:r w:rsidRPr="00C54144">
              <w:rPr>
                <w:color w:val="000000"/>
                <w:sz w:val="18"/>
                <w:szCs w:val="18"/>
              </w:rPr>
              <w:t xml:space="preserve">$345,400 </w:t>
            </w:r>
          </w:p>
        </w:tc>
      </w:tr>
      <w:tr w:rsidR="00DE7675" w:rsidRPr="00F1394E" w14:paraId="04080AC8" w14:textId="77777777" w:rsidTr="006E511D">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3045" w:type="dxa"/>
            <w:shd w:val="clear" w:color="auto" w:fill="EDE4D5"/>
            <w:noWrap/>
            <w:hideMark/>
          </w:tcPr>
          <w:p w14:paraId="5D315AEA" w14:textId="77777777" w:rsidR="00DE7675" w:rsidRPr="00F1394E" w:rsidRDefault="00DE7675" w:rsidP="006E511D">
            <w:pPr>
              <w:rPr>
                <w:sz w:val="18"/>
                <w:szCs w:val="18"/>
              </w:rPr>
            </w:pPr>
            <w:r w:rsidRPr="00F1394E">
              <w:rPr>
                <w:sz w:val="18"/>
                <w:szCs w:val="18"/>
              </w:rPr>
              <w:t>Demand Response</w:t>
            </w:r>
          </w:p>
        </w:tc>
        <w:tc>
          <w:tcPr>
            <w:tcW w:w="1261" w:type="dxa"/>
            <w:shd w:val="clear" w:color="auto" w:fill="EDE4D5"/>
            <w:noWrap/>
            <w:hideMark/>
          </w:tcPr>
          <w:p w14:paraId="4979B75F" w14:textId="77777777" w:rsidR="00DE7675" w:rsidRPr="00C54144" w:rsidRDefault="00DE7675" w:rsidP="006E511D">
            <w:pPr>
              <w:jc w:val="right"/>
              <w:cnfStyle w:val="000000100000" w:firstRow="0" w:lastRow="0" w:firstColumn="0" w:lastColumn="0" w:oddVBand="0" w:evenVBand="0" w:oddHBand="1" w:evenHBand="0" w:firstRowFirstColumn="0" w:firstRowLastColumn="0" w:lastRowFirstColumn="0" w:lastRowLastColumn="0"/>
              <w:rPr>
                <w:sz w:val="18"/>
                <w:szCs w:val="18"/>
              </w:rPr>
            </w:pPr>
            <w:r w:rsidRPr="00C54144">
              <w:rPr>
                <w:color w:val="000000"/>
                <w:sz w:val="18"/>
                <w:szCs w:val="18"/>
              </w:rPr>
              <w:t xml:space="preserve">$50,000 </w:t>
            </w:r>
          </w:p>
        </w:tc>
        <w:tc>
          <w:tcPr>
            <w:tcW w:w="1261" w:type="dxa"/>
            <w:shd w:val="clear" w:color="auto" w:fill="EDE4D5"/>
            <w:noWrap/>
            <w:hideMark/>
          </w:tcPr>
          <w:p w14:paraId="5D7C94B9" w14:textId="77777777" w:rsidR="00DE7675" w:rsidRPr="00C54144" w:rsidRDefault="00DE7675" w:rsidP="006E511D">
            <w:pPr>
              <w:jc w:val="right"/>
              <w:cnfStyle w:val="000000100000" w:firstRow="0" w:lastRow="0" w:firstColumn="0" w:lastColumn="0" w:oddVBand="0" w:evenVBand="0" w:oddHBand="1" w:evenHBand="0" w:firstRowFirstColumn="0" w:firstRowLastColumn="0" w:lastRowFirstColumn="0" w:lastRowLastColumn="0"/>
              <w:rPr>
                <w:sz w:val="18"/>
                <w:szCs w:val="18"/>
              </w:rPr>
            </w:pPr>
            <w:r w:rsidRPr="00C54144">
              <w:rPr>
                <w:color w:val="000000"/>
                <w:sz w:val="18"/>
                <w:szCs w:val="18"/>
              </w:rPr>
              <w:t>$51,</w:t>
            </w:r>
            <w:r>
              <w:rPr>
                <w:color w:val="000000"/>
                <w:sz w:val="18"/>
                <w:szCs w:val="18"/>
              </w:rPr>
              <w:t>2</w:t>
            </w:r>
            <w:r w:rsidRPr="00C54144">
              <w:rPr>
                <w:color w:val="000000"/>
                <w:sz w:val="18"/>
                <w:szCs w:val="18"/>
              </w:rPr>
              <w:t xml:space="preserve">00 </w:t>
            </w:r>
          </w:p>
        </w:tc>
        <w:tc>
          <w:tcPr>
            <w:tcW w:w="1261" w:type="dxa"/>
            <w:shd w:val="clear" w:color="auto" w:fill="EDE4D5"/>
            <w:noWrap/>
            <w:hideMark/>
          </w:tcPr>
          <w:p w14:paraId="0F62558D" w14:textId="77777777" w:rsidR="00DE7675" w:rsidRPr="00C54144" w:rsidRDefault="00DE7675" w:rsidP="006E511D">
            <w:pPr>
              <w:jc w:val="right"/>
              <w:cnfStyle w:val="000000100000" w:firstRow="0" w:lastRow="0" w:firstColumn="0" w:lastColumn="0" w:oddVBand="0" w:evenVBand="0" w:oddHBand="1" w:evenHBand="0" w:firstRowFirstColumn="0" w:firstRowLastColumn="0" w:lastRowFirstColumn="0" w:lastRowLastColumn="0"/>
              <w:rPr>
                <w:sz w:val="18"/>
                <w:szCs w:val="18"/>
              </w:rPr>
            </w:pPr>
            <w:r w:rsidRPr="00C54144">
              <w:rPr>
                <w:color w:val="000000"/>
                <w:sz w:val="18"/>
                <w:szCs w:val="18"/>
              </w:rPr>
              <w:t xml:space="preserve">$52,500 </w:t>
            </w:r>
          </w:p>
        </w:tc>
        <w:tc>
          <w:tcPr>
            <w:tcW w:w="1261" w:type="dxa"/>
            <w:shd w:val="clear" w:color="auto" w:fill="EDE4D5"/>
            <w:noWrap/>
            <w:hideMark/>
          </w:tcPr>
          <w:p w14:paraId="4A78BB9E" w14:textId="77777777" w:rsidR="00DE7675" w:rsidRPr="00C54144" w:rsidRDefault="00DE7675" w:rsidP="006E511D">
            <w:pPr>
              <w:jc w:val="right"/>
              <w:cnfStyle w:val="000000100000" w:firstRow="0" w:lastRow="0" w:firstColumn="0" w:lastColumn="0" w:oddVBand="0" w:evenVBand="0" w:oddHBand="1" w:evenHBand="0" w:firstRowFirstColumn="0" w:firstRowLastColumn="0" w:lastRowFirstColumn="0" w:lastRowLastColumn="0"/>
              <w:rPr>
                <w:sz w:val="18"/>
                <w:szCs w:val="18"/>
              </w:rPr>
            </w:pPr>
            <w:r w:rsidRPr="00C54144">
              <w:rPr>
                <w:color w:val="000000"/>
                <w:sz w:val="18"/>
                <w:szCs w:val="18"/>
              </w:rPr>
              <w:t xml:space="preserve">$53,800 </w:t>
            </w:r>
          </w:p>
        </w:tc>
        <w:tc>
          <w:tcPr>
            <w:tcW w:w="1261" w:type="dxa"/>
            <w:shd w:val="clear" w:color="auto" w:fill="EDE4D5"/>
            <w:noWrap/>
            <w:hideMark/>
          </w:tcPr>
          <w:p w14:paraId="14C27B7C" w14:textId="77777777" w:rsidR="00DE7675" w:rsidRPr="00C54144" w:rsidRDefault="00DE7675" w:rsidP="006E511D">
            <w:pPr>
              <w:jc w:val="right"/>
              <w:cnfStyle w:val="000000100000" w:firstRow="0" w:lastRow="0" w:firstColumn="0" w:lastColumn="0" w:oddVBand="0" w:evenVBand="0" w:oddHBand="1" w:evenHBand="0" w:firstRowFirstColumn="0" w:firstRowLastColumn="0" w:lastRowFirstColumn="0" w:lastRowLastColumn="0"/>
              <w:rPr>
                <w:sz w:val="18"/>
                <w:szCs w:val="18"/>
              </w:rPr>
            </w:pPr>
            <w:r w:rsidRPr="00C54144">
              <w:rPr>
                <w:color w:val="000000"/>
                <w:sz w:val="18"/>
                <w:szCs w:val="18"/>
              </w:rPr>
              <w:t xml:space="preserve">$55,200 </w:t>
            </w:r>
          </w:p>
        </w:tc>
      </w:tr>
      <w:tr w:rsidR="00DE7675" w:rsidRPr="00F1394E" w14:paraId="37B66EA3" w14:textId="77777777" w:rsidTr="006E511D">
        <w:trPr>
          <w:cnfStyle w:val="000000010000" w:firstRow="0" w:lastRow="0" w:firstColumn="0" w:lastColumn="0" w:oddVBand="0" w:evenVBand="0" w:oddHBand="0" w:evenHBand="1"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3045" w:type="dxa"/>
            <w:shd w:val="clear" w:color="auto" w:fill="B1CECA"/>
            <w:noWrap/>
            <w:hideMark/>
          </w:tcPr>
          <w:p w14:paraId="4392601D" w14:textId="7EB0C1C9" w:rsidR="00DE7675" w:rsidRPr="00F1394E" w:rsidRDefault="00DE7675" w:rsidP="006E511D">
            <w:pPr>
              <w:rPr>
                <w:sz w:val="18"/>
                <w:szCs w:val="18"/>
              </w:rPr>
            </w:pPr>
            <w:r w:rsidRPr="00F1394E">
              <w:rPr>
                <w:sz w:val="18"/>
                <w:szCs w:val="18"/>
              </w:rPr>
              <w:t>RTF Management</w:t>
            </w:r>
            <w:r w:rsidR="00DD3D36">
              <w:rPr>
                <w:sz w:val="18"/>
                <w:szCs w:val="18"/>
              </w:rPr>
              <w:t>/Administration</w:t>
            </w:r>
          </w:p>
        </w:tc>
        <w:tc>
          <w:tcPr>
            <w:tcW w:w="1261" w:type="dxa"/>
            <w:shd w:val="clear" w:color="auto" w:fill="B1CECA"/>
            <w:noWrap/>
            <w:hideMark/>
          </w:tcPr>
          <w:p w14:paraId="617E20FC" w14:textId="77777777" w:rsidR="00DE7675" w:rsidRPr="00C54144" w:rsidRDefault="00DE7675" w:rsidP="006E511D">
            <w:pPr>
              <w:jc w:val="right"/>
              <w:cnfStyle w:val="000000010000" w:firstRow="0" w:lastRow="0" w:firstColumn="0" w:lastColumn="0" w:oddVBand="0" w:evenVBand="0" w:oddHBand="0" w:evenHBand="1" w:firstRowFirstColumn="0" w:firstRowLastColumn="0" w:lastRowFirstColumn="0" w:lastRowLastColumn="0"/>
              <w:rPr>
                <w:sz w:val="18"/>
                <w:szCs w:val="18"/>
              </w:rPr>
            </w:pPr>
            <w:r w:rsidRPr="00C54144">
              <w:rPr>
                <w:color w:val="000000"/>
                <w:sz w:val="18"/>
                <w:szCs w:val="18"/>
              </w:rPr>
              <w:t xml:space="preserve">$504,000 </w:t>
            </w:r>
          </w:p>
        </w:tc>
        <w:tc>
          <w:tcPr>
            <w:tcW w:w="1261" w:type="dxa"/>
            <w:shd w:val="clear" w:color="auto" w:fill="B1CECA"/>
            <w:noWrap/>
            <w:hideMark/>
          </w:tcPr>
          <w:p w14:paraId="3EC44554" w14:textId="77777777" w:rsidR="00DE7675" w:rsidRPr="00C54144" w:rsidRDefault="00DE7675" w:rsidP="006E511D">
            <w:pPr>
              <w:jc w:val="right"/>
              <w:cnfStyle w:val="000000010000" w:firstRow="0" w:lastRow="0" w:firstColumn="0" w:lastColumn="0" w:oddVBand="0" w:evenVBand="0" w:oddHBand="0" w:evenHBand="1" w:firstRowFirstColumn="0" w:firstRowLastColumn="0" w:lastRowFirstColumn="0" w:lastRowLastColumn="0"/>
              <w:rPr>
                <w:sz w:val="18"/>
                <w:szCs w:val="18"/>
              </w:rPr>
            </w:pPr>
            <w:r w:rsidRPr="00C54144">
              <w:rPr>
                <w:color w:val="000000"/>
                <w:sz w:val="18"/>
                <w:szCs w:val="18"/>
              </w:rPr>
              <w:t>$516,</w:t>
            </w:r>
            <w:r>
              <w:rPr>
                <w:color w:val="000000"/>
                <w:sz w:val="18"/>
                <w:szCs w:val="18"/>
              </w:rPr>
              <w:t>7</w:t>
            </w:r>
            <w:r w:rsidRPr="00C54144">
              <w:rPr>
                <w:color w:val="000000"/>
                <w:sz w:val="18"/>
                <w:szCs w:val="18"/>
              </w:rPr>
              <w:t xml:space="preserve">00 </w:t>
            </w:r>
          </w:p>
        </w:tc>
        <w:tc>
          <w:tcPr>
            <w:tcW w:w="1261" w:type="dxa"/>
            <w:shd w:val="clear" w:color="auto" w:fill="B1CECA"/>
            <w:noWrap/>
            <w:hideMark/>
          </w:tcPr>
          <w:p w14:paraId="0AA482EF" w14:textId="77777777" w:rsidR="00DE7675" w:rsidRPr="00C54144" w:rsidRDefault="00DE7675" w:rsidP="006E511D">
            <w:pPr>
              <w:jc w:val="right"/>
              <w:cnfStyle w:val="000000010000" w:firstRow="0" w:lastRow="0" w:firstColumn="0" w:lastColumn="0" w:oddVBand="0" w:evenVBand="0" w:oddHBand="0" w:evenHBand="1" w:firstRowFirstColumn="0" w:firstRowLastColumn="0" w:lastRowFirstColumn="0" w:lastRowLastColumn="0"/>
              <w:rPr>
                <w:sz w:val="18"/>
                <w:szCs w:val="18"/>
              </w:rPr>
            </w:pPr>
            <w:r w:rsidRPr="00C54144">
              <w:rPr>
                <w:color w:val="000000"/>
                <w:sz w:val="18"/>
                <w:szCs w:val="18"/>
              </w:rPr>
              <w:t xml:space="preserve">$529,500 </w:t>
            </w:r>
          </w:p>
        </w:tc>
        <w:tc>
          <w:tcPr>
            <w:tcW w:w="1261" w:type="dxa"/>
            <w:shd w:val="clear" w:color="auto" w:fill="B1CECA"/>
            <w:noWrap/>
            <w:hideMark/>
          </w:tcPr>
          <w:p w14:paraId="643FAF03" w14:textId="77777777" w:rsidR="00DE7675" w:rsidRPr="00C54144" w:rsidRDefault="00DE7675" w:rsidP="006E511D">
            <w:pPr>
              <w:jc w:val="right"/>
              <w:cnfStyle w:val="000000010000" w:firstRow="0" w:lastRow="0" w:firstColumn="0" w:lastColumn="0" w:oddVBand="0" w:evenVBand="0" w:oddHBand="0" w:evenHBand="1" w:firstRowFirstColumn="0" w:firstRowLastColumn="0" w:lastRowFirstColumn="0" w:lastRowLastColumn="0"/>
              <w:rPr>
                <w:sz w:val="18"/>
                <w:szCs w:val="18"/>
              </w:rPr>
            </w:pPr>
            <w:r w:rsidRPr="00C54144">
              <w:rPr>
                <w:color w:val="000000"/>
                <w:sz w:val="18"/>
                <w:szCs w:val="18"/>
              </w:rPr>
              <w:t xml:space="preserve">$542,700 </w:t>
            </w:r>
          </w:p>
        </w:tc>
        <w:tc>
          <w:tcPr>
            <w:tcW w:w="1261" w:type="dxa"/>
            <w:shd w:val="clear" w:color="auto" w:fill="B1CECA"/>
            <w:noWrap/>
            <w:hideMark/>
          </w:tcPr>
          <w:p w14:paraId="7A29FC06" w14:textId="77777777" w:rsidR="00DE7675" w:rsidRPr="00C54144" w:rsidRDefault="00DE7675" w:rsidP="006E511D">
            <w:pPr>
              <w:jc w:val="right"/>
              <w:cnfStyle w:val="000000010000" w:firstRow="0" w:lastRow="0" w:firstColumn="0" w:lastColumn="0" w:oddVBand="0" w:evenVBand="0" w:oddHBand="0" w:evenHBand="1" w:firstRowFirstColumn="0" w:firstRowLastColumn="0" w:lastRowFirstColumn="0" w:lastRowLastColumn="0"/>
              <w:rPr>
                <w:sz w:val="18"/>
                <w:szCs w:val="18"/>
              </w:rPr>
            </w:pPr>
            <w:r w:rsidRPr="00C54144">
              <w:rPr>
                <w:color w:val="000000"/>
                <w:sz w:val="18"/>
                <w:szCs w:val="18"/>
              </w:rPr>
              <w:t>$556,</w:t>
            </w:r>
            <w:r>
              <w:rPr>
                <w:color w:val="000000"/>
                <w:sz w:val="18"/>
                <w:szCs w:val="18"/>
              </w:rPr>
              <w:t>3</w:t>
            </w:r>
            <w:r w:rsidRPr="00C54144">
              <w:rPr>
                <w:color w:val="000000"/>
                <w:sz w:val="18"/>
                <w:szCs w:val="18"/>
              </w:rPr>
              <w:t xml:space="preserve">00 </w:t>
            </w:r>
          </w:p>
        </w:tc>
      </w:tr>
      <w:tr w:rsidR="00DE7675" w:rsidRPr="00F1394E" w14:paraId="718517B8" w14:textId="77777777" w:rsidTr="006E511D">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3045" w:type="dxa"/>
            <w:shd w:val="clear" w:color="auto" w:fill="336E7E"/>
            <w:noWrap/>
            <w:hideMark/>
          </w:tcPr>
          <w:p w14:paraId="6CBF31D0" w14:textId="77777777" w:rsidR="00DE7675" w:rsidRPr="00546EAA" w:rsidRDefault="00DE7675" w:rsidP="006E511D">
            <w:pPr>
              <w:rPr>
                <w:b/>
                <w:color w:val="FFFFFF" w:themeColor="background1"/>
                <w:sz w:val="18"/>
                <w:szCs w:val="18"/>
              </w:rPr>
            </w:pPr>
            <w:r w:rsidRPr="00546EAA">
              <w:rPr>
                <w:b/>
                <w:color w:val="FFFFFF" w:themeColor="background1"/>
                <w:sz w:val="18"/>
                <w:szCs w:val="18"/>
              </w:rPr>
              <w:t>Total</w:t>
            </w:r>
          </w:p>
        </w:tc>
        <w:tc>
          <w:tcPr>
            <w:tcW w:w="1261" w:type="dxa"/>
            <w:shd w:val="clear" w:color="auto" w:fill="336E7E"/>
            <w:noWrap/>
            <w:hideMark/>
          </w:tcPr>
          <w:p w14:paraId="7DE6E727" w14:textId="77777777" w:rsidR="00DE7675" w:rsidRPr="00C54144" w:rsidRDefault="00DE7675" w:rsidP="006E511D">
            <w:pPr>
              <w:jc w:val="right"/>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C54144">
              <w:rPr>
                <w:b/>
                <w:bCs/>
                <w:color w:val="FFFFFF" w:themeColor="background1"/>
                <w:sz w:val="18"/>
                <w:szCs w:val="18"/>
              </w:rPr>
              <w:t xml:space="preserve">$1,800,000 </w:t>
            </w:r>
          </w:p>
        </w:tc>
        <w:tc>
          <w:tcPr>
            <w:tcW w:w="1261" w:type="dxa"/>
            <w:shd w:val="clear" w:color="auto" w:fill="336E7E"/>
            <w:noWrap/>
            <w:hideMark/>
          </w:tcPr>
          <w:p w14:paraId="1E3EC745" w14:textId="77777777" w:rsidR="00DE7675" w:rsidRPr="00C54144" w:rsidRDefault="00DE7675" w:rsidP="006E511D">
            <w:pPr>
              <w:jc w:val="right"/>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C54144">
              <w:rPr>
                <w:b/>
                <w:bCs/>
                <w:color w:val="FFFFFF" w:themeColor="background1"/>
                <w:sz w:val="18"/>
                <w:szCs w:val="18"/>
              </w:rPr>
              <w:t>$1,845,</w:t>
            </w:r>
            <w:r>
              <w:rPr>
                <w:b/>
                <w:bCs/>
                <w:color w:val="FFFFFF" w:themeColor="background1"/>
                <w:sz w:val="18"/>
                <w:szCs w:val="18"/>
              </w:rPr>
              <w:t>0</w:t>
            </w:r>
            <w:r w:rsidRPr="00C54144">
              <w:rPr>
                <w:b/>
                <w:bCs/>
                <w:color w:val="FFFFFF" w:themeColor="background1"/>
                <w:sz w:val="18"/>
                <w:szCs w:val="18"/>
              </w:rPr>
              <w:t xml:space="preserve">00 </w:t>
            </w:r>
          </w:p>
        </w:tc>
        <w:tc>
          <w:tcPr>
            <w:tcW w:w="1261" w:type="dxa"/>
            <w:shd w:val="clear" w:color="auto" w:fill="336E7E"/>
            <w:noWrap/>
            <w:hideMark/>
          </w:tcPr>
          <w:p w14:paraId="696F5E88" w14:textId="77777777" w:rsidR="00DE7675" w:rsidRPr="00C54144" w:rsidRDefault="00DE7675" w:rsidP="006E511D">
            <w:pPr>
              <w:jc w:val="right"/>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C54144">
              <w:rPr>
                <w:b/>
                <w:bCs/>
                <w:color w:val="FFFFFF" w:themeColor="background1"/>
                <w:sz w:val="18"/>
                <w:szCs w:val="18"/>
              </w:rPr>
              <w:t xml:space="preserve">$1,891,100 </w:t>
            </w:r>
          </w:p>
        </w:tc>
        <w:tc>
          <w:tcPr>
            <w:tcW w:w="1261" w:type="dxa"/>
            <w:shd w:val="clear" w:color="auto" w:fill="336E7E"/>
            <w:noWrap/>
            <w:hideMark/>
          </w:tcPr>
          <w:p w14:paraId="708A77A5" w14:textId="77777777" w:rsidR="00DE7675" w:rsidRPr="00C54144" w:rsidRDefault="00DE7675" w:rsidP="006E511D">
            <w:pPr>
              <w:jc w:val="right"/>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C54144">
              <w:rPr>
                <w:b/>
                <w:bCs/>
                <w:color w:val="FFFFFF" w:themeColor="background1"/>
                <w:sz w:val="18"/>
                <w:szCs w:val="18"/>
              </w:rPr>
              <w:t>$1,938,</w:t>
            </w:r>
            <w:r>
              <w:rPr>
                <w:b/>
                <w:bCs/>
                <w:color w:val="FFFFFF" w:themeColor="background1"/>
                <w:sz w:val="18"/>
                <w:szCs w:val="18"/>
              </w:rPr>
              <w:t>4</w:t>
            </w:r>
            <w:r w:rsidRPr="00C54144">
              <w:rPr>
                <w:b/>
                <w:bCs/>
                <w:color w:val="FFFFFF" w:themeColor="background1"/>
                <w:sz w:val="18"/>
                <w:szCs w:val="18"/>
              </w:rPr>
              <w:t xml:space="preserve">00 </w:t>
            </w:r>
          </w:p>
        </w:tc>
        <w:tc>
          <w:tcPr>
            <w:tcW w:w="1261" w:type="dxa"/>
            <w:shd w:val="clear" w:color="auto" w:fill="336E7E"/>
            <w:noWrap/>
            <w:hideMark/>
          </w:tcPr>
          <w:p w14:paraId="0B1CF8E5" w14:textId="77777777" w:rsidR="00DE7675" w:rsidRPr="00C54144" w:rsidRDefault="00DE7675" w:rsidP="006E511D">
            <w:pPr>
              <w:jc w:val="right"/>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C54144">
              <w:rPr>
                <w:b/>
                <w:bCs/>
                <w:color w:val="FFFFFF" w:themeColor="background1"/>
                <w:sz w:val="18"/>
                <w:szCs w:val="18"/>
              </w:rPr>
              <w:t xml:space="preserve">$1,986,800 </w:t>
            </w:r>
          </w:p>
        </w:tc>
      </w:tr>
    </w:tbl>
    <w:p w14:paraId="5770B58E" w14:textId="77777777" w:rsidR="00DE7675" w:rsidRDefault="00DE7675" w:rsidP="00847E02">
      <w:pPr>
        <w:rPr>
          <w:color w:val="9E4A30"/>
        </w:rPr>
      </w:pPr>
    </w:p>
    <w:p w14:paraId="58450208" w14:textId="77777777" w:rsidR="00C54144" w:rsidRDefault="00C54144">
      <w:pPr>
        <w:rPr>
          <w:color w:val="9E4A30"/>
        </w:rPr>
      </w:pPr>
      <w:bookmarkStart w:id="1" w:name="_Ref11233868"/>
      <w:r>
        <w:br w:type="page"/>
      </w:r>
    </w:p>
    <w:p w14:paraId="51C67B31" w14:textId="09FE1E01" w:rsidR="00847E02" w:rsidRDefault="00847E02" w:rsidP="00847E02">
      <w:pPr>
        <w:pStyle w:val="TableTitle"/>
      </w:pPr>
      <w:bookmarkStart w:id="2" w:name="_Ref45633523"/>
      <w:r>
        <w:lastRenderedPageBreak/>
        <w:t xml:space="preserve">Table </w:t>
      </w:r>
      <w:r w:rsidR="00A12448">
        <w:rPr>
          <w:noProof/>
        </w:rPr>
        <w:fldChar w:fldCharType="begin"/>
      </w:r>
      <w:r w:rsidR="00A12448">
        <w:rPr>
          <w:noProof/>
        </w:rPr>
        <w:instrText xml:space="preserve"> SEQ Table \* ARABIC </w:instrText>
      </w:r>
      <w:r w:rsidR="00A12448">
        <w:rPr>
          <w:noProof/>
        </w:rPr>
        <w:fldChar w:fldCharType="separate"/>
      </w:r>
      <w:r w:rsidR="003F23EA">
        <w:rPr>
          <w:noProof/>
        </w:rPr>
        <w:t>4</w:t>
      </w:r>
      <w:r w:rsidR="00A12448">
        <w:rPr>
          <w:noProof/>
        </w:rPr>
        <w:fldChar w:fldCharType="end"/>
      </w:r>
      <w:bookmarkEnd w:id="1"/>
      <w:bookmarkEnd w:id="2"/>
      <w:r>
        <w:t>: Proposed 202</w:t>
      </w:r>
      <w:r w:rsidR="00DE7675">
        <w:t>1</w:t>
      </w:r>
      <w:r>
        <w:t xml:space="preserve"> Budget Levels</w:t>
      </w:r>
    </w:p>
    <w:tbl>
      <w:tblPr>
        <w:tblStyle w:val="RTFTable"/>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1125"/>
        <w:gridCol w:w="1305"/>
        <w:gridCol w:w="1305"/>
        <w:gridCol w:w="1305"/>
        <w:gridCol w:w="900"/>
      </w:tblGrid>
      <w:tr w:rsidR="002255B3" w:rsidRPr="002255B3" w14:paraId="2D30E137" w14:textId="77777777" w:rsidTr="00C54144">
        <w:trPr>
          <w:cnfStyle w:val="100000000000" w:firstRow="1" w:lastRow="0" w:firstColumn="0" w:lastColumn="0" w:oddVBand="0" w:evenVBand="0" w:oddHBand="0" w:evenHBand="0" w:firstRowFirstColumn="0" w:firstRowLastColumn="0" w:lastRowFirstColumn="0" w:lastRowLastColumn="0"/>
          <w:trHeight w:val="603"/>
        </w:trPr>
        <w:tc>
          <w:tcPr>
            <w:cnfStyle w:val="001000000100" w:firstRow="0" w:lastRow="0" w:firstColumn="1" w:lastColumn="0" w:oddVBand="0" w:evenVBand="0" w:oddHBand="0" w:evenHBand="0" w:firstRowFirstColumn="1" w:firstRowLastColumn="0" w:lastRowFirstColumn="0" w:lastRowLastColumn="0"/>
            <w:tcW w:w="3415" w:type="dxa"/>
            <w:noWrap/>
            <w:vAlign w:val="bottom"/>
            <w:hideMark/>
          </w:tcPr>
          <w:p w14:paraId="28123930" w14:textId="77777777" w:rsidR="002255B3" w:rsidRPr="002255B3" w:rsidRDefault="002255B3" w:rsidP="002255B3">
            <w:pPr>
              <w:rPr>
                <w:b/>
                <w:sz w:val="18"/>
                <w:szCs w:val="18"/>
              </w:rPr>
            </w:pPr>
            <w:r w:rsidRPr="002255B3">
              <w:rPr>
                <w:b/>
                <w:sz w:val="18"/>
                <w:szCs w:val="18"/>
              </w:rPr>
              <w:t>Category</w:t>
            </w:r>
          </w:p>
        </w:tc>
        <w:tc>
          <w:tcPr>
            <w:tcW w:w="1125" w:type="dxa"/>
            <w:vAlign w:val="bottom"/>
            <w:hideMark/>
          </w:tcPr>
          <w:p w14:paraId="5E28B1BD" w14:textId="77777777" w:rsidR="002255B3" w:rsidRPr="002255B3" w:rsidRDefault="002255B3" w:rsidP="002255B3">
            <w:pPr>
              <w:cnfStyle w:val="100000000000" w:firstRow="1" w:lastRow="0" w:firstColumn="0" w:lastColumn="0" w:oddVBand="0" w:evenVBand="0" w:oddHBand="0" w:evenHBand="0" w:firstRowFirstColumn="0" w:firstRowLastColumn="0" w:lastRowFirstColumn="0" w:lastRowLastColumn="0"/>
              <w:rPr>
                <w:b/>
                <w:sz w:val="18"/>
                <w:szCs w:val="18"/>
              </w:rPr>
            </w:pPr>
            <w:r w:rsidRPr="002255B3">
              <w:rPr>
                <w:b/>
                <w:sz w:val="18"/>
                <w:szCs w:val="18"/>
              </w:rPr>
              <w:t>Contract RFP</w:t>
            </w:r>
          </w:p>
        </w:tc>
        <w:tc>
          <w:tcPr>
            <w:tcW w:w="1305" w:type="dxa"/>
            <w:tcBorders>
              <w:right w:val="single" w:sz="18" w:space="0" w:color="000000" w:themeColor="text1"/>
            </w:tcBorders>
            <w:vAlign w:val="bottom"/>
            <w:hideMark/>
          </w:tcPr>
          <w:p w14:paraId="5A378E8E" w14:textId="368990CA" w:rsidR="002255B3" w:rsidRPr="002255B3" w:rsidRDefault="002255B3" w:rsidP="002255B3">
            <w:pPr>
              <w:cnfStyle w:val="100000000000" w:firstRow="1" w:lastRow="0" w:firstColumn="0" w:lastColumn="0" w:oddVBand="0" w:evenVBand="0" w:oddHBand="0" w:evenHBand="0" w:firstRowFirstColumn="0" w:firstRowLastColumn="0" w:lastRowFirstColumn="0" w:lastRowLastColumn="0"/>
              <w:rPr>
                <w:b/>
                <w:sz w:val="18"/>
                <w:szCs w:val="18"/>
              </w:rPr>
            </w:pPr>
            <w:r w:rsidRPr="002255B3">
              <w:rPr>
                <w:b/>
                <w:sz w:val="18"/>
                <w:szCs w:val="18"/>
              </w:rPr>
              <w:t>Contract Analyst Team</w:t>
            </w:r>
            <w:r w:rsidR="00A6531C">
              <w:rPr>
                <w:b/>
                <w:sz w:val="18"/>
                <w:szCs w:val="18"/>
              </w:rPr>
              <w:t xml:space="preserve"> and </w:t>
            </w:r>
            <w:r>
              <w:rPr>
                <w:b/>
                <w:sz w:val="18"/>
                <w:szCs w:val="18"/>
              </w:rPr>
              <w:t>Manager</w:t>
            </w:r>
          </w:p>
        </w:tc>
        <w:tc>
          <w:tcPr>
            <w:tcW w:w="1305" w:type="dxa"/>
            <w:tcBorders>
              <w:left w:val="single" w:sz="18" w:space="0" w:color="000000" w:themeColor="text1"/>
              <w:right w:val="single" w:sz="18" w:space="0" w:color="auto"/>
            </w:tcBorders>
            <w:vAlign w:val="bottom"/>
            <w:hideMark/>
          </w:tcPr>
          <w:p w14:paraId="51E0ADA6" w14:textId="6DAD9066" w:rsidR="002255B3" w:rsidRPr="002255B3" w:rsidRDefault="002255B3" w:rsidP="002255B3">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Total</w:t>
            </w:r>
            <w:r w:rsidRPr="002255B3">
              <w:rPr>
                <w:b/>
                <w:sz w:val="18"/>
                <w:szCs w:val="18"/>
              </w:rPr>
              <w:t xml:space="preserve"> Funder</w:t>
            </w:r>
            <w:r w:rsidR="007E673E">
              <w:rPr>
                <w:b/>
                <w:sz w:val="18"/>
                <w:szCs w:val="18"/>
              </w:rPr>
              <w:t xml:space="preserve"> Contribution</w:t>
            </w:r>
          </w:p>
        </w:tc>
        <w:tc>
          <w:tcPr>
            <w:tcW w:w="1305" w:type="dxa"/>
            <w:tcBorders>
              <w:left w:val="single" w:sz="18" w:space="0" w:color="auto"/>
              <w:right w:val="single" w:sz="18" w:space="0" w:color="auto"/>
            </w:tcBorders>
            <w:vAlign w:val="bottom"/>
            <w:hideMark/>
          </w:tcPr>
          <w:p w14:paraId="3372A414" w14:textId="77777777" w:rsidR="002255B3" w:rsidRPr="002255B3" w:rsidRDefault="002255B3" w:rsidP="002255B3">
            <w:pPr>
              <w:cnfStyle w:val="100000000000" w:firstRow="1" w:lastRow="0" w:firstColumn="0" w:lastColumn="0" w:oddVBand="0" w:evenVBand="0" w:oddHBand="0" w:evenHBand="0" w:firstRowFirstColumn="0" w:firstRowLastColumn="0" w:lastRowFirstColumn="0" w:lastRowLastColumn="0"/>
              <w:rPr>
                <w:b/>
                <w:sz w:val="18"/>
                <w:szCs w:val="18"/>
              </w:rPr>
            </w:pPr>
            <w:r w:rsidRPr="002255B3">
              <w:rPr>
                <w:b/>
                <w:sz w:val="18"/>
                <w:szCs w:val="18"/>
              </w:rPr>
              <w:t>Council Contribution</w:t>
            </w:r>
          </w:p>
        </w:tc>
        <w:tc>
          <w:tcPr>
            <w:tcW w:w="900" w:type="dxa"/>
            <w:tcBorders>
              <w:left w:val="single" w:sz="18" w:space="0" w:color="auto"/>
            </w:tcBorders>
            <w:vAlign w:val="bottom"/>
            <w:hideMark/>
          </w:tcPr>
          <w:p w14:paraId="500D66E3" w14:textId="77777777" w:rsidR="002255B3" w:rsidRPr="002255B3" w:rsidRDefault="002255B3" w:rsidP="002255B3">
            <w:pPr>
              <w:cnfStyle w:val="100000000000" w:firstRow="1" w:lastRow="0" w:firstColumn="0" w:lastColumn="0" w:oddVBand="0" w:evenVBand="0" w:oddHBand="0" w:evenHBand="0" w:firstRowFirstColumn="0" w:firstRowLastColumn="0" w:lastRowFirstColumn="0" w:lastRowLastColumn="0"/>
              <w:rPr>
                <w:b/>
                <w:sz w:val="18"/>
                <w:szCs w:val="18"/>
              </w:rPr>
            </w:pPr>
            <w:r w:rsidRPr="002255B3">
              <w:rPr>
                <w:b/>
                <w:sz w:val="18"/>
                <w:szCs w:val="18"/>
              </w:rPr>
              <w:t>% of total</w:t>
            </w:r>
          </w:p>
        </w:tc>
      </w:tr>
      <w:tr w:rsidR="00DE7675" w:rsidRPr="002255B3" w14:paraId="191E85A7" w14:textId="77777777" w:rsidTr="00C5414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15" w:type="dxa"/>
            <w:shd w:val="clear" w:color="auto" w:fill="EDE4D5"/>
            <w:hideMark/>
          </w:tcPr>
          <w:p w14:paraId="473CD126" w14:textId="77777777" w:rsidR="00DE7675" w:rsidRPr="002255B3" w:rsidRDefault="00DE7675" w:rsidP="00DE7675">
            <w:pPr>
              <w:rPr>
                <w:sz w:val="18"/>
                <w:szCs w:val="18"/>
              </w:rPr>
            </w:pPr>
            <w:r w:rsidRPr="002255B3">
              <w:rPr>
                <w:sz w:val="18"/>
                <w:szCs w:val="18"/>
              </w:rPr>
              <w:t>Existing Measure Maintenance</w:t>
            </w:r>
          </w:p>
        </w:tc>
        <w:tc>
          <w:tcPr>
            <w:tcW w:w="1125" w:type="dxa"/>
            <w:shd w:val="clear" w:color="auto" w:fill="EDE4D5"/>
            <w:noWrap/>
            <w:hideMark/>
          </w:tcPr>
          <w:p w14:paraId="0330744D" w14:textId="675570F7" w:rsidR="00DE7675" w:rsidRPr="00DE7675" w:rsidRDefault="00DE7675"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w:t>
            </w:r>
            <w:r w:rsidR="00D53287">
              <w:rPr>
                <w:color w:val="000000"/>
                <w:sz w:val="18"/>
                <w:szCs w:val="18"/>
              </w:rPr>
              <w:t>141,000</w:t>
            </w:r>
            <w:r w:rsidRPr="00DE7675">
              <w:rPr>
                <w:color w:val="000000"/>
                <w:sz w:val="18"/>
                <w:szCs w:val="18"/>
              </w:rPr>
              <w:t xml:space="preserve"> </w:t>
            </w:r>
          </w:p>
        </w:tc>
        <w:tc>
          <w:tcPr>
            <w:tcW w:w="1305" w:type="dxa"/>
            <w:tcBorders>
              <w:right w:val="single" w:sz="18" w:space="0" w:color="000000" w:themeColor="text1"/>
            </w:tcBorders>
            <w:shd w:val="clear" w:color="auto" w:fill="EDE4D5"/>
            <w:noWrap/>
            <w:hideMark/>
          </w:tcPr>
          <w:p w14:paraId="74EA6B1C" w14:textId="0B25E964" w:rsidR="00DE7675" w:rsidRPr="00DE7675" w:rsidRDefault="00D53287"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$431,200</w:t>
            </w:r>
          </w:p>
        </w:tc>
        <w:tc>
          <w:tcPr>
            <w:tcW w:w="1305" w:type="dxa"/>
            <w:tcBorders>
              <w:left w:val="single" w:sz="18" w:space="0" w:color="000000" w:themeColor="text1"/>
              <w:right w:val="single" w:sz="18" w:space="0" w:color="auto"/>
            </w:tcBorders>
            <w:shd w:val="clear" w:color="auto" w:fill="EDE4D5"/>
            <w:noWrap/>
            <w:hideMark/>
          </w:tcPr>
          <w:p w14:paraId="31156A11" w14:textId="4501B41C" w:rsidR="00DE7675" w:rsidRPr="00DE7675" w:rsidRDefault="00D53287"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$572,200</w:t>
            </w:r>
          </w:p>
        </w:tc>
        <w:tc>
          <w:tcPr>
            <w:tcW w:w="1305" w:type="dxa"/>
            <w:tcBorders>
              <w:left w:val="single" w:sz="18" w:space="0" w:color="auto"/>
              <w:right w:val="single" w:sz="18" w:space="0" w:color="auto"/>
            </w:tcBorders>
            <w:shd w:val="clear" w:color="auto" w:fill="EDE4D5"/>
            <w:noWrap/>
            <w:hideMark/>
          </w:tcPr>
          <w:p w14:paraId="1D92DD4D" w14:textId="4F8D5075" w:rsidR="00DE7675" w:rsidRPr="00DE7675" w:rsidRDefault="00D53287"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$14,010</w:t>
            </w:r>
          </w:p>
        </w:tc>
        <w:tc>
          <w:tcPr>
            <w:tcW w:w="900" w:type="dxa"/>
            <w:tcBorders>
              <w:left w:val="single" w:sz="18" w:space="0" w:color="auto"/>
            </w:tcBorders>
            <w:shd w:val="clear" w:color="auto" w:fill="EDE4D5"/>
            <w:hideMark/>
          </w:tcPr>
          <w:p w14:paraId="2640A59F" w14:textId="6D8593D1" w:rsidR="00DE7675" w:rsidRPr="00DE7675" w:rsidRDefault="00D53287" w:rsidP="00DE7675">
            <w:pP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29%</w:t>
            </w:r>
          </w:p>
        </w:tc>
      </w:tr>
      <w:tr w:rsidR="00DE7675" w:rsidRPr="002255B3" w14:paraId="28D1889A" w14:textId="77777777" w:rsidTr="00C54144">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15" w:type="dxa"/>
            <w:shd w:val="clear" w:color="auto" w:fill="B1CECA"/>
            <w:hideMark/>
          </w:tcPr>
          <w:p w14:paraId="42FA16AF" w14:textId="77777777" w:rsidR="00DE7675" w:rsidRPr="002255B3" w:rsidRDefault="00DE7675" w:rsidP="00DE7675">
            <w:pPr>
              <w:rPr>
                <w:sz w:val="18"/>
                <w:szCs w:val="18"/>
              </w:rPr>
            </w:pPr>
            <w:r w:rsidRPr="002255B3">
              <w:rPr>
                <w:sz w:val="18"/>
                <w:szCs w:val="18"/>
              </w:rPr>
              <w:t>New Measure Development</w:t>
            </w:r>
          </w:p>
        </w:tc>
        <w:tc>
          <w:tcPr>
            <w:tcW w:w="1125" w:type="dxa"/>
            <w:shd w:val="clear" w:color="auto" w:fill="B1CECA"/>
            <w:noWrap/>
            <w:hideMark/>
          </w:tcPr>
          <w:p w14:paraId="0F450833" w14:textId="374DC789" w:rsidR="00DE7675" w:rsidRPr="00DE7675" w:rsidRDefault="00DE7675" w:rsidP="00DE7675">
            <w:pPr>
              <w:jc w:val="right"/>
              <w:cnfStyle w:val="000000010000" w:firstRow="0" w:lastRow="0" w:firstColumn="0" w:lastColumn="0" w:oddVBand="0" w:evenVBand="0" w:oddHBand="0" w:evenHBand="1" w:firstRowFirstColumn="0" w:firstRowLastColumn="0" w:lastRowFirstColumn="0" w:lastRowLastColumn="0"/>
              <w:rPr>
                <w:sz w:val="18"/>
                <w:szCs w:val="18"/>
              </w:rPr>
            </w:pPr>
            <w:r w:rsidRPr="00DE7675">
              <w:rPr>
                <w:color w:val="000000"/>
                <w:sz w:val="18"/>
                <w:szCs w:val="18"/>
              </w:rPr>
              <w:t xml:space="preserve">$76,100 </w:t>
            </w:r>
          </w:p>
        </w:tc>
        <w:tc>
          <w:tcPr>
            <w:tcW w:w="1305" w:type="dxa"/>
            <w:tcBorders>
              <w:right w:val="single" w:sz="18" w:space="0" w:color="000000" w:themeColor="text1"/>
            </w:tcBorders>
            <w:shd w:val="clear" w:color="auto" w:fill="B1CECA"/>
            <w:noWrap/>
            <w:hideMark/>
          </w:tcPr>
          <w:p w14:paraId="66585116" w14:textId="395968DB" w:rsidR="00DE7675" w:rsidRPr="00DE7675" w:rsidRDefault="00DE7675" w:rsidP="00DE7675">
            <w:pPr>
              <w:jc w:val="right"/>
              <w:cnfStyle w:val="000000010000" w:firstRow="0" w:lastRow="0" w:firstColumn="0" w:lastColumn="0" w:oddVBand="0" w:evenVBand="0" w:oddHBand="0" w:evenHBand="1" w:firstRowFirstColumn="0" w:firstRowLastColumn="0" w:lastRowFirstColumn="0" w:lastRowLastColumn="0"/>
              <w:rPr>
                <w:sz w:val="18"/>
                <w:szCs w:val="18"/>
              </w:rPr>
            </w:pPr>
            <w:r w:rsidRPr="00DE7675">
              <w:rPr>
                <w:color w:val="000000"/>
                <w:sz w:val="18"/>
                <w:szCs w:val="18"/>
              </w:rPr>
              <w:t xml:space="preserve">$276,600 </w:t>
            </w:r>
          </w:p>
        </w:tc>
        <w:tc>
          <w:tcPr>
            <w:tcW w:w="1305" w:type="dxa"/>
            <w:tcBorders>
              <w:left w:val="single" w:sz="18" w:space="0" w:color="000000" w:themeColor="text1"/>
              <w:right w:val="single" w:sz="18" w:space="0" w:color="auto"/>
            </w:tcBorders>
            <w:shd w:val="clear" w:color="auto" w:fill="B1CECA"/>
            <w:noWrap/>
            <w:hideMark/>
          </w:tcPr>
          <w:p w14:paraId="54D4D9BB" w14:textId="2370B19C" w:rsidR="00DE7675" w:rsidRPr="00DE7675" w:rsidRDefault="00DE7675" w:rsidP="00DE7675">
            <w:pPr>
              <w:jc w:val="right"/>
              <w:cnfStyle w:val="000000010000" w:firstRow="0" w:lastRow="0" w:firstColumn="0" w:lastColumn="0" w:oddVBand="0" w:evenVBand="0" w:oddHBand="0" w:evenHBand="1" w:firstRowFirstColumn="0" w:firstRowLastColumn="0" w:lastRowFirstColumn="0" w:lastRowLastColumn="0"/>
              <w:rPr>
                <w:sz w:val="18"/>
                <w:szCs w:val="18"/>
              </w:rPr>
            </w:pPr>
            <w:r w:rsidRPr="00DE7675">
              <w:rPr>
                <w:color w:val="000000"/>
                <w:sz w:val="18"/>
                <w:szCs w:val="18"/>
              </w:rPr>
              <w:t xml:space="preserve">$352,700 </w:t>
            </w:r>
          </w:p>
        </w:tc>
        <w:tc>
          <w:tcPr>
            <w:tcW w:w="1305" w:type="dxa"/>
            <w:tcBorders>
              <w:left w:val="single" w:sz="18" w:space="0" w:color="auto"/>
              <w:right w:val="single" w:sz="18" w:space="0" w:color="auto"/>
            </w:tcBorders>
            <w:shd w:val="clear" w:color="auto" w:fill="B1CECA"/>
            <w:noWrap/>
            <w:hideMark/>
          </w:tcPr>
          <w:p w14:paraId="04B1B1DB" w14:textId="67F478F9" w:rsidR="00DE7675" w:rsidRPr="00DE7675" w:rsidRDefault="00DE7675" w:rsidP="00DE7675">
            <w:pPr>
              <w:jc w:val="right"/>
              <w:cnfStyle w:val="000000010000" w:firstRow="0" w:lastRow="0" w:firstColumn="0" w:lastColumn="0" w:oddVBand="0" w:evenVBand="0" w:oddHBand="0" w:evenHBand="1" w:firstRowFirstColumn="0" w:firstRowLastColumn="0" w:lastRowFirstColumn="0" w:lastRowLastColumn="0"/>
              <w:rPr>
                <w:sz w:val="18"/>
                <w:szCs w:val="18"/>
              </w:rPr>
            </w:pPr>
            <w:r w:rsidRPr="00DE7675">
              <w:rPr>
                <w:color w:val="000000"/>
                <w:sz w:val="18"/>
                <w:szCs w:val="18"/>
              </w:rPr>
              <w:t xml:space="preserve">$6,585 </w:t>
            </w:r>
          </w:p>
        </w:tc>
        <w:tc>
          <w:tcPr>
            <w:tcW w:w="900" w:type="dxa"/>
            <w:tcBorders>
              <w:left w:val="single" w:sz="18" w:space="0" w:color="auto"/>
            </w:tcBorders>
            <w:shd w:val="clear" w:color="auto" w:fill="B1CECA"/>
            <w:hideMark/>
          </w:tcPr>
          <w:p w14:paraId="3000C6A6" w14:textId="1672FD1B" w:rsidR="00DE7675" w:rsidRPr="00DE7675" w:rsidRDefault="00DE7675" w:rsidP="00DE7675">
            <w:pPr>
              <w:cnfStyle w:val="000000010000" w:firstRow="0" w:lastRow="0" w:firstColumn="0" w:lastColumn="0" w:oddVBand="0" w:evenVBand="0" w:oddHBand="0" w:evenHBand="1" w:firstRowFirstColumn="0" w:firstRowLastColumn="0" w:lastRowFirstColumn="0" w:lastRowLastColumn="0"/>
              <w:rPr>
                <w:sz w:val="18"/>
                <w:szCs w:val="18"/>
              </w:rPr>
            </w:pPr>
            <w:r w:rsidRPr="00DE7675">
              <w:rPr>
                <w:color w:val="000000"/>
                <w:sz w:val="18"/>
                <w:szCs w:val="18"/>
              </w:rPr>
              <w:t>18%</w:t>
            </w:r>
          </w:p>
        </w:tc>
      </w:tr>
      <w:tr w:rsidR="00DE7675" w:rsidRPr="002255B3" w14:paraId="42097DF5" w14:textId="77777777" w:rsidTr="00C5414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15" w:type="dxa"/>
            <w:shd w:val="clear" w:color="auto" w:fill="EDE4D5"/>
            <w:hideMark/>
          </w:tcPr>
          <w:p w14:paraId="09723B90" w14:textId="77777777" w:rsidR="00DE7675" w:rsidRPr="002255B3" w:rsidRDefault="00DE7675" w:rsidP="00DE7675">
            <w:pPr>
              <w:rPr>
                <w:sz w:val="18"/>
                <w:szCs w:val="18"/>
              </w:rPr>
            </w:pPr>
            <w:r w:rsidRPr="002255B3">
              <w:rPr>
                <w:sz w:val="18"/>
                <w:szCs w:val="18"/>
              </w:rPr>
              <w:t>Standardization of Technical Analysis</w:t>
            </w:r>
          </w:p>
        </w:tc>
        <w:tc>
          <w:tcPr>
            <w:tcW w:w="1125" w:type="dxa"/>
            <w:shd w:val="clear" w:color="auto" w:fill="EDE4D5"/>
            <w:noWrap/>
            <w:hideMark/>
          </w:tcPr>
          <w:p w14:paraId="7E63BEF4" w14:textId="631E4114" w:rsidR="00DE7675" w:rsidRPr="00DE7675" w:rsidRDefault="00DE7675"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 xml:space="preserve">$0 </w:t>
            </w:r>
          </w:p>
        </w:tc>
        <w:tc>
          <w:tcPr>
            <w:tcW w:w="1305" w:type="dxa"/>
            <w:tcBorders>
              <w:right w:val="single" w:sz="18" w:space="0" w:color="000000" w:themeColor="text1"/>
            </w:tcBorders>
            <w:shd w:val="clear" w:color="auto" w:fill="EDE4D5"/>
            <w:noWrap/>
            <w:hideMark/>
          </w:tcPr>
          <w:p w14:paraId="53A186F5" w14:textId="745EBD9A" w:rsidR="00DE7675" w:rsidRPr="00DE7675" w:rsidRDefault="00DE7675"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 xml:space="preserve">$185,000 </w:t>
            </w:r>
          </w:p>
        </w:tc>
        <w:tc>
          <w:tcPr>
            <w:tcW w:w="1305" w:type="dxa"/>
            <w:tcBorders>
              <w:left w:val="single" w:sz="18" w:space="0" w:color="000000" w:themeColor="text1"/>
              <w:right w:val="single" w:sz="18" w:space="0" w:color="auto"/>
            </w:tcBorders>
            <w:shd w:val="clear" w:color="auto" w:fill="EDE4D5"/>
            <w:noWrap/>
            <w:hideMark/>
          </w:tcPr>
          <w:p w14:paraId="3CECA385" w14:textId="365EF5C2" w:rsidR="00DE7675" w:rsidRPr="00DE7675" w:rsidRDefault="00DE7675"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 xml:space="preserve">$185,000 </w:t>
            </w:r>
          </w:p>
        </w:tc>
        <w:tc>
          <w:tcPr>
            <w:tcW w:w="1305" w:type="dxa"/>
            <w:tcBorders>
              <w:left w:val="single" w:sz="18" w:space="0" w:color="auto"/>
              <w:right w:val="single" w:sz="18" w:space="0" w:color="auto"/>
            </w:tcBorders>
            <w:shd w:val="clear" w:color="auto" w:fill="EDE4D5"/>
            <w:noWrap/>
            <w:hideMark/>
          </w:tcPr>
          <w:p w14:paraId="5D49ECDF" w14:textId="48E20D10" w:rsidR="00DE7675" w:rsidRPr="00DE7675" w:rsidRDefault="00DE7675"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 xml:space="preserve">$0 </w:t>
            </w:r>
          </w:p>
        </w:tc>
        <w:tc>
          <w:tcPr>
            <w:tcW w:w="900" w:type="dxa"/>
            <w:tcBorders>
              <w:left w:val="single" w:sz="18" w:space="0" w:color="auto"/>
            </w:tcBorders>
            <w:shd w:val="clear" w:color="auto" w:fill="EDE4D5"/>
            <w:hideMark/>
          </w:tcPr>
          <w:p w14:paraId="781112C1" w14:textId="03E2678D" w:rsidR="00DE7675" w:rsidRPr="00DE7675" w:rsidRDefault="00DE7675" w:rsidP="00DE7675">
            <w:pPr>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9%</w:t>
            </w:r>
          </w:p>
        </w:tc>
      </w:tr>
      <w:tr w:rsidR="00DE7675" w:rsidRPr="002255B3" w14:paraId="667127DC" w14:textId="77777777" w:rsidTr="00C54144">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15" w:type="dxa"/>
            <w:shd w:val="clear" w:color="auto" w:fill="B1CECA"/>
            <w:hideMark/>
          </w:tcPr>
          <w:p w14:paraId="013205FC" w14:textId="77777777" w:rsidR="00DE7675" w:rsidRPr="002255B3" w:rsidRDefault="00DE7675" w:rsidP="00DE7675">
            <w:pPr>
              <w:rPr>
                <w:sz w:val="18"/>
                <w:szCs w:val="18"/>
              </w:rPr>
            </w:pPr>
            <w:r w:rsidRPr="002255B3">
              <w:rPr>
                <w:sz w:val="18"/>
                <w:szCs w:val="18"/>
              </w:rPr>
              <w:t>Tool Development</w:t>
            </w:r>
          </w:p>
        </w:tc>
        <w:tc>
          <w:tcPr>
            <w:tcW w:w="1125" w:type="dxa"/>
            <w:shd w:val="clear" w:color="auto" w:fill="B1CECA"/>
            <w:noWrap/>
            <w:hideMark/>
          </w:tcPr>
          <w:p w14:paraId="771C5030" w14:textId="09A7F0BA" w:rsidR="00DE7675" w:rsidRPr="00DE7675" w:rsidRDefault="00D53287" w:rsidP="00DE7675">
            <w:pPr>
              <w:jc w:val="right"/>
              <w:cnfStyle w:val="000000010000" w:firstRow="0" w:lastRow="0" w:firstColumn="0" w:lastColumn="0" w:oddVBand="0" w:evenVBand="0" w:oddHBand="0" w:evenHBand="1" w:firstRowFirstColumn="0" w:firstRowLastColumn="0" w:lastRowFirstColumn="0" w:lastRowLastColumn="0"/>
              <w:rPr>
                <w:sz w:val="18"/>
                <w:szCs w:val="18"/>
              </w:rPr>
            </w:pPr>
            <w:r>
              <w:rPr>
                <w:color w:val="000000"/>
                <w:sz w:val="18"/>
                <w:szCs w:val="18"/>
              </w:rPr>
              <w:t>$20,000</w:t>
            </w:r>
          </w:p>
        </w:tc>
        <w:tc>
          <w:tcPr>
            <w:tcW w:w="1305" w:type="dxa"/>
            <w:tcBorders>
              <w:right w:val="single" w:sz="18" w:space="0" w:color="000000" w:themeColor="text1"/>
            </w:tcBorders>
            <w:shd w:val="clear" w:color="auto" w:fill="B1CECA"/>
            <w:noWrap/>
            <w:hideMark/>
          </w:tcPr>
          <w:p w14:paraId="143D31C2" w14:textId="1BA89FB2" w:rsidR="00DE7675" w:rsidRPr="00DE7675" w:rsidRDefault="00D53287" w:rsidP="00DE7675">
            <w:pPr>
              <w:jc w:val="right"/>
              <w:cnfStyle w:val="000000010000" w:firstRow="0" w:lastRow="0" w:firstColumn="0" w:lastColumn="0" w:oddVBand="0" w:evenVBand="0" w:oddHBand="0" w:evenHBand="1" w:firstRowFirstColumn="0" w:firstRowLastColumn="0" w:lastRowFirstColumn="0" w:lastRowLastColumn="0"/>
              <w:rPr>
                <w:sz w:val="18"/>
                <w:szCs w:val="18"/>
              </w:rPr>
            </w:pPr>
            <w:r>
              <w:rPr>
                <w:color w:val="000000"/>
                <w:sz w:val="18"/>
                <w:szCs w:val="18"/>
              </w:rPr>
              <w:t>$90,200</w:t>
            </w:r>
          </w:p>
        </w:tc>
        <w:tc>
          <w:tcPr>
            <w:tcW w:w="1305" w:type="dxa"/>
            <w:tcBorders>
              <w:left w:val="single" w:sz="18" w:space="0" w:color="000000" w:themeColor="text1"/>
              <w:right w:val="single" w:sz="18" w:space="0" w:color="auto"/>
            </w:tcBorders>
            <w:shd w:val="clear" w:color="auto" w:fill="B1CECA"/>
            <w:noWrap/>
            <w:hideMark/>
          </w:tcPr>
          <w:p w14:paraId="502D05C6" w14:textId="42A784EF" w:rsidR="00DE7675" w:rsidRPr="00DE7675" w:rsidRDefault="00D53287" w:rsidP="00DE7675">
            <w:pPr>
              <w:jc w:val="right"/>
              <w:cnfStyle w:val="000000010000" w:firstRow="0" w:lastRow="0" w:firstColumn="0" w:lastColumn="0" w:oddVBand="0" w:evenVBand="0" w:oddHBand="0" w:evenHBand="1" w:firstRowFirstColumn="0" w:firstRowLastColumn="0" w:lastRowFirstColumn="0" w:lastRowLastColumn="0"/>
              <w:rPr>
                <w:sz w:val="18"/>
                <w:szCs w:val="18"/>
              </w:rPr>
            </w:pPr>
            <w:r>
              <w:rPr>
                <w:color w:val="000000"/>
                <w:sz w:val="18"/>
                <w:szCs w:val="18"/>
              </w:rPr>
              <w:t>$110,200</w:t>
            </w:r>
          </w:p>
        </w:tc>
        <w:tc>
          <w:tcPr>
            <w:tcW w:w="1305" w:type="dxa"/>
            <w:tcBorders>
              <w:left w:val="single" w:sz="18" w:space="0" w:color="auto"/>
              <w:right w:val="single" w:sz="18" w:space="0" w:color="auto"/>
            </w:tcBorders>
            <w:shd w:val="clear" w:color="auto" w:fill="B1CECA"/>
            <w:noWrap/>
            <w:hideMark/>
          </w:tcPr>
          <w:p w14:paraId="6A4355DE" w14:textId="0C879140" w:rsidR="00DE7675" w:rsidRPr="00DE7675" w:rsidRDefault="00DE7675" w:rsidP="00DE7675">
            <w:pPr>
              <w:jc w:val="right"/>
              <w:cnfStyle w:val="000000010000" w:firstRow="0" w:lastRow="0" w:firstColumn="0" w:lastColumn="0" w:oddVBand="0" w:evenVBand="0" w:oddHBand="0" w:evenHBand="1" w:firstRowFirstColumn="0" w:firstRowLastColumn="0" w:lastRowFirstColumn="0" w:lastRowLastColumn="0"/>
              <w:rPr>
                <w:sz w:val="18"/>
                <w:szCs w:val="18"/>
              </w:rPr>
            </w:pPr>
            <w:r w:rsidRPr="00DE7675">
              <w:rPr>
                <w:color w:val="000000"/>
                <w:sz w:val="18"/>
                <w:szCs w:val="18"/>
              </w:rPr>
              <w:t xml:space="preserve">$10,500 </w:t>
            </w:r>
          </w:p>
        </w:tc>
        <w:tc>
          <w:tcPr>
            <w:tcW w:w="900" w:type="dxa"/>
            <w:tcBorders>
              <w:left w:val="single" w:sz="18" w:space="0" w:color="auto"/>
            </w:tcBorders>
            <w:shd w:val="clear" w:color="auto" w:fill="B1CECA"/>
            <w:hideMark/>
          </w:tcPr>
          <w:p w14:paraId="344216CB" w14:textId="37E761DB" w:rsidR="00D53287" w:rsidRPr="00D53287" w:rsidRDefault="00D53287" w:rsidP="00D53287">
            <w:pP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6%</w:t>
            </w:r>
          </w:p>
        </w:tc>
      </w:tr>
      <w:tr w:rsidR="00DE7675" w:rsidRPr="002255B3" w14:paraId="5F2EB4B6" w14:textId="77777777" w:rsidTr="00C5414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15" w:type="dxa"/>
            <w:shd w:val="clear" w:color="auto" w:fill="EDE4D5"/>
            <w:hideMark/>
          </w:tcPr>
          <w:p w14:paraId="1E131304" w14:textId="77777777" w:rsidR="00DE7675" w:rsidRPr="002255B3" w:rsidRDefault="00DE7675" w:rsidP="00DE7675">
            <w:pPr>
              <w:rPr>
                <w:sz w:val="18"/>
                <w:szCs w:val="18"/>
              </w:rPr>
            </w:pPr>
            <w:r w:rsidRPr="002255B3">
              <w:rPr>
                <w:sz w:val="18"/>
                <w:szCs w:val="18"/>
              </w:rPr>
              <w:t>Regional Coordination</w:t>
            </w:r>
          </w:p>
        </w:tc>
        <w:tc>
          <w:tcPr>
            <w:tcW w:w="1125" w:type="dxa"/>
            <w:shd w:val="clear" w:color="auto" w:fill="EDE4D5"/>
            <w:noWrap/>
            <w:hideMark/>
          </w:tcPr>
          <w:p w14:paraId="5CCD501A" w14:textId="242A28D8" w:rsidR="00DE7675" w:rsidRPr="00DE7675" w:rsidRDefault="00D53287"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$125,000</w:t>
            </w:r>
          </w:p>
        </w:tc>
        <w:tc>
          <w:tcPr>
            <w:tcW w:w="1305" w:type="dxa"/>
            <w:tcBorders>
              <w:right w:val="single" w:sz="18" w:space="0" w:color="000000" w:themeColor="text1"/>
            </w:tcBorders>
            <w:shd w:val="clear" w:color="auto" w:fill="EDE4D5"/>
            <w:noWrap/>
            <w:hideMark/>
          </w:tcPr>
          <w:p w14:paraId="4B86D282" w14:textId="29A6345B" w:rsidR="00DE7675" w:rsidRPr="00DE7675" w:rsidRDefault="00D53287"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$138,000</w:t>
            </w:r>
          </w:p>
        </w:tc>
        <w:tc>
          <w:tcPr>
            <w:tcW w:w="1305" w:type="dxa"/>
            <w:tcBorders>
              <w:left w:val="single" w:sz="18" w:space="0" w:color="000000" w:themeColor="text1"/>
              <w:right w:val="single" w:sz="18" w:space="0" w:color="auto"/>
            </w:tcBorders>
            <w:shd w:val="clear" w:color="auto" w:fill="EDE4D5"/>
            <w:noWrap/>
            <w:hideMark/>
          </w:tcPr>
          <w:p w14:paraId="4400FB7D" w14:textId="78820ECC" w:rsidR="00DE7675" w:rsidRPr="00DE7675" w:rsidRDefault="00D53287"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$263,000</w:t>
            </w:r>
          </w:p>
        </w:tc>
        <w:tc>
          <w:tcPr>
            <w:tcW w:w="1305" w:type="dxa"/>
            <w:tcBorders>
              <w:left w:val="single" w:sz="18" w:space="0" w:color="auto"/>
              <w:right w:val="single" w:sz="18" w:space="0" w:color="auto"/>
            </w:tcBorders>
            <w:shd w:val="clear" w:color="auto" w:fill="EDE4D5"/>
            <w:noWrap/>
            <w:hideMark/>
          </w:tcPr>
          <w:p w14:paraId="74BCC8BE" w14:textId="7F68520F" w:rsidR="00DE7675" w:rsidRPr="00DE7675" w:rsidRDefault="00DE7675"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 xml:space="preserve">$18,000 </w:t>
            </w:r>
          </w:p>
        </w:tc>
        <w:tc>
          <w:tcPr>
            <w:tcW w:w="900" w:type="dxa"/>
            <w:tcBorders>
              <w:left w:val="single" w:sz="18" w:space="0" w:color="auto"/>
            </w:tcBorders>
            <w:shd w:val="clear" w:color="auto" w:fill="EDE4D5"/>
            <w:hideMark/>
          </w:tcPr>
          <w:p w14:paraId="096E152A" w14:textId="021FDD37" w:rsidR="00DE7675" w:rsidRPr="00DE7675" w:rsidRDefault="00D53287" w:rsidP="00DE7675">
            <w:pP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13%</w:t>
            </w:r>
          </w:p>
        </w:tc>
      </w:tr>
      <w:tr w:rsidR="00DE7675" w:rsidRPr="002255B3" w14:paraId="131B310E" w14:textId="77777777" w:rsidTr="00C54144">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15" w:type="dxa"/>
            <w:shd w:val="clear" w:color="auto" w:fill="B1CECA"/>
            <w:hideMark/>
          </w:tcPr>
          <w:p w14:paraId="1DD79CC3" w14:textId="77777777" w:rsidR="00DE7675" w:rsidRPr="002255B3" w:rsidRDefault="00DE7675" w:rsidP="00DE7675">
            <w:pPr>
              <w:rPr>
                <w:sz w:val="18"/>
                <w:szCs w:val="18"/>
              </w:rPr>
            </w:pPr>
            <w:r w:rsidRPr="002255B3">
              <w:rPr>
                <w:sz w:val="18"/>
                <w:szCs w:val="18"/>
              </w:rPr>
              <w:t>Demand Response</w:t>
            </w:r>
          </w:p>
        </w:tc>
        <w:tc>
          <w:tcPr>
            <w:tcW w:w="1125" w:type="dxa"/>
            <w:shd w:val="clear" w:color="auto" w:fill="B1CECA"/>
            <w:noWrap/>
            <w:hideMark/>
          </w:tcPr>
          <w:p w14:paraId="73A594DE" w14:textId="04F629B0" w:rsidR="00DE7675" w:rsidRPr="00DE7675" w:rsidRDefault="00DE7675" w:rsidP="00DE7675">
            <w:pPr>
              <w:jc w:val="right"/>
              <w:cnfStyle w:val="000000010000" w:firstRow="0" w:lastRow="0" w:firstColumn="0" w:lastColumn="0" w:oddVBand="0" w:evenVBand="0" w:oddHBand="0" w:evenHBand="1" w:firstRowFirstColumn="0" w:firstRowLastColumn="0" w:lastRowFirstColumn="0" w:lastRowLastColumn="0"/>
              <w:rPr>
                <w:sz w:val="18"/>
                <w:szCs w:val="18"/>
              </w:rPr>
            </w:pPr>
            <w:r w:rsidRPr="00DE7675">
              <w:rPr>
                <w:color w:val="000000"/>
                <w:sz w:val="18"/>
                <w:szCs w:val="18"/>
              </w:rPr>
              <w:t xml:space="preserve">$25,700 </w:t>
            </w:r>
          </w:p>
        </w:tc>
        <w:tc>
          <w:tcPr>
            <w:tcW w:w="1305" w:type="dxa"/>
            <w:tcBorders>
              <w:right w:val="single" w:sz="18" w:space="0" w:color="000000" w:themeColor="text1"/>
            </w:tcBorders>
            <w:shd w:val="clear" w:color="auto" w:fill="B1CECA"/>
            <w:noWrap/>
            <w:hideMark/>
          </w:tcPr>
          <w:p w14:paraId="324CF30C" w14:textId="7D94CD36" w:rsidR="00DE7675" w:rsidRPr="00DE7675" w:rsidRDefault="00DE7675" w:rsidP="00DE7675">
            <w:pPr>
              <w:jc w:val="right"/>
              <w:cnfStyle w:val="000000010000" w:firstRow="0" w:lastRow="0" w:firstColumn="0" w:lastColumn="0" w:oddVBand="0" w:evenVBand="0" w:oddHBand="0" w:evenHBand="1" w:firstRowFirstColumn="0" w:firstRowLastColumn="0" w:lastRowFirstColumn="0" w:lastRowLastColumn="0"/>
              <w:rPr>
                <w:sz w:val="18"/>
                <w:szCs w:val="18"/>
              </w:rPr>
            </w:pPr>
            <w:r w:rsidRPr="00DE7675">
              <w:rPr>
                <w:color w:val="000000"/>
                <w:sz w:val="18"/>
                <w:szCs w:val="18"/>
              </w:rPr>
              <w:t xml:space="preserve">$25,700 </w:t>
            </w:r>
          </w:p>
        </w:tc>
        <w:tc>
          <w:tcPr>
            <w:tcW w:w="1305" w:type="dxa"/>
            <w:tcBorders>
              <w:left w:val="single" w:sz="18" w:space="0" w:color="000000" w:themeColor="text1"/>
              <w:right w:val="single" w:sz="18" w:space="0" w:color="auto"/>
            </w:tcBorders>
            <w:shd w:val="clear" w:color="auto" w:fill="B1CECA"/>
            <w:noWrap/>
            <w:hideMark/>
          </w:tcPr>
          <w:p w14:paraId="367513DB" w14:textId="4BE53731" w:rsidR="00DE7675" w:rsidRPr="00DE7675" w:rsidRDefault="00DE7675" w:rsidP="00DE7675">
            <w:pPr>
              <w:jc w:val="right"/>
              <w:cnfStyle w:val="000000010000" w:firstRow="0" w:lastRow="0" w:firstColumn="0" w:lastColumn="0" w:oddVBand="0" w:evenVBand="0" w:oddHBand="0" w:evenHBand="1" w:firstRowFirstColumn="0" w:firstRowLastColumn="0" w:lastRowFirstColumn="0" w:lastRowLastColumn="0"/>
              <w:rPr>
                <w:sz w:val="18"/>
                <w:szCs w:val="18"/>
              </w:rPr>
            </w:pPr>
            <w:r w:rsidRPr="00DE7675">
              <w:rPr>
                <w:color w:val="000000"/>
                <w:sz w:val="18"/>
                <w:szCs w:val="18"/>
              </w:rPr>
              <w:t xml:space="preserve">$51,400 </w:t>
            </w:r>
          </w:p>
        </w:tc>
        <w:tc>
          <w:tcPr>
            <w:tcW w:w="1305" w:type="dxa"/>
            <w:tcBorders>
              <w:left w:val="single" w:sz="18" w:space="0" w:color="auto"/>
              <w:right w:val="single" w:sz="18" w:space="0" w:color="auto"/>
            </w:tcBorders>
            <w:shd w:val="clear" w:color="auto" w:fill="B1CECA"/>
            <w:noWrap/>
            <w:hideMark/>
          </w:tcPr>
          <w:p w14:paraId="44878CDA" w14:textId="4BFDCE1C" w:rsidR="00DE7675" w:rsidRPr="00DE7675" w:rsidRDefault="00DE7675" w:rsidP="00DE7675">
            <w:pPr>
              <w:jc w:val="right"/>
              <w:cnfStyle w:val="000000010000" w:firstRow="0" w:lastRow="0" w:firstColumn="0" w:lastColumn="0" w:oddVBand="0" w:evenVBand="0" w:oddHBand="0" w:evenHBand="1" w:firstRowFirstColumn="0" w:firstRowLastColumn="0" w:lastRowFirstColumn="0" w:lastRowLastColumn="0"/>
              <w:rPr>
                <w:sz w:val="18"/>
                <w:szCs w:val="18"/>
              </w:rPr>
            </w:pPr>
            <w:r w:rsidRPr="00DE7675">
              <w:rPr>
                <w:color w:val="000000"/>
                <w:sz w:val="18"/>
                <w:szCs w:val="18"/>
              </w:rPr>
              <w:t xml:space="preserve">$10,000 </w:t>
            </w:r>
          </w:p>
        </w:tc>
        <w:tc>
          <w:tcPr>
            <w:tcW w:w="900" w:type="dxa"/>
            <w:tcBorders>
              <w:left w:val="single" w:sz="18" w:space="0" w:color="auto"/>
            </w:tcBorders>
            <w:shd w:val="clear" w:color="auto" w:fill="B1CECA"/>
            <w:hideMark/>
          </w:tcPr>
          <w:p w14:paraId="1F336E4D" w14:textId="35E798D0" w:rsidR="00DE7675" w:rsidRPr="00DE7675" w:rsidRDefault="00DE7675" w:rsidP="00DE7675">
            <w:pPr>
              <w:cnfStyle w:val="000000010000" w:firstRow="0" w:lastRow="0" w:firstColumn="0" w:lastColumn="0" w:oddVBand="0" w:evenVBand="0" w:oddHBand="0" w:evenHBand="1" w:firstRowFirstColumn="0" w:firstRowLastColumn="0" w:lastRowFirstColumn="0" w:lastRowLastColumn="0"/>
              <w:rPr>
                <w:sz w:val="18"/>
                <w:szCs w:val="18"/>
              </w:rPr>
            </w:pPr>
            <w:r w:rsidRPr="00DE7675">
              <w:rPr>
                <w:color w:val="000000"/>
                <w:sz w:val="18"/>
                <w:szCs w:val="18"/>
              </w:rPr>
              <w:t>3%</w:t>
            </w:r>
          </w:p>
        </w:tc>
      </w:tr>
      <w:tr w:rsidR="00DE7675" w:rsidRPr="002255B3" w14:paraId="29ED6E38" w14:textId="77777777" w:rsidTr="00C5414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15" w:type="dxa"/>
            <w:shd w:val="clear" w:color="auto" w:fill="EDE4D5"/>
            <w:hideMark/>
          </w:tcPr>
          <w:p w14:paraId="15359897" w14:textId="0D47F146" w:rsidR="00DE7675" w:rsidRPr="002255B3" w:rsidRDefault="00DE7675" w:rsidP="00DE7675">
            <w:pPr>
              <w:rPr>
                <w:bCs w:val="0"/>
                <w:sz w:val="18"/>
                <w:szCs w:val="18"/>
              </w:rPr>
            </w:pPr>
            <w:r>
              <w:rPr>
                <w:sz w:val="18"/>
                <w:szCs w:val="18"/>
              </w:rPr>
              <w:t>Regional Conservation Progress</w:t>
            </w:r>
          </w:p>
        </w:tc>
        <w:tc>
          <w:tcPr>
            <w:tcW w:w="1125" w:type="dxa"/>
            <w:shd w:val="clear" w:color="auto" w:fill="EDE4D5"/>
            <w:noWrap/>
            <w:hideMark/>
          </w:tcPr>
          <w:p w14:paraId="442B9CAA" w14:textId="7A9323DD" w:rsidR="00DE7675" w:rsidRPr="00DE7675" w:rsidRDefault="00DE7675"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 xml:space="preserve">$56,000 </w:t>
            </w:r>
          </w:p>
        </w:tc>
        <w:tc>
          <w:tcPr>
            <w:tcW w:w="1305" w:type="dxa"/>
            <w:tcBorders>
              <w:right w:val="single" w:sz="18" w:space="0" w:color="000000" w:themeColor="text1"/>
            </w:tcBorders>
            <w:shd w:val="clear" w:color="auto" w:fill="EDE4D5"/>
            <w:noWrap/>
            <w:hideMark/>
          </w:tcPr>
          <w:p w14:paraId="58260E5B" w14:textId="4ADDBA55" w:rsidR="00DE7675" w:rsidRPr="00DE7675" w:rsidRDefault="00DE7675"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 xml:space="preserve">$0 </w:t>
            </w:r>
          </w:p>
        </w:tc>
        <w:tc>
          <w:tcPr>
            <w:tcW w:w="1305" w:type="dxa"/>
            <w:tcBorders>
              <w:left w:val="single" w:sz="18" w:space="0" w:color="000000" w:themeColor="text1"/>
              <w:right w:val="single" w:sz="18" w:space="0" w:color="auto"/>
            </w:tcBorders>
            <w:shd w:val="clear" w:color="auto" w:fill="EDE4D5"/>
            <w:noWrap/>
            <w:hideMark/>
          </w:tcPr>
          <w:p w14:paraId="25B4AD77" w14:textId="392B66FD" w:rsidR="00DE7675" w:rsidRPr="00DE7675" w:rsidRDefault="00DE7675"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 xml:space="preserve">$56,000 </w:t>
            </w:r>
          </w:p>
        </w:tc>
        <w:tc>
          <w:tcPr>
            <w:tcW w:w="1305" w:type="dxa"/>
            <w:tcBorders>
              <w:left w:val="single" w:sz="18" w:space="0" w:color="auto"/>
              <w:right w:val="single" w:sz="18" w:space="0" w:color="auto"/>
            </w:tcBorders>
            <w:shd w:val="clear" w:color="auto" w:fill="EDE4D5"/>
            <w:noWrap/>
            <w:hideMark/>
          </w:tcPr>
          <w:p w14:paraId="1F6F7989" w14:textId="09896B7B" w:rsidR="00DE7675" w:rsidRPr="00DE7675" w:rsidRDefault="00DE7675"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 xml:space="preserve">$45,000 </w:t>
            </w:r>
          </w:p>
        </w:tc>
        <w:tc>
          <w:tcPr>
            <w:tcW w:w="900" w:type="dxa"/>
            <w:tcBorders>
              <w:left w:val="single" w:sz="18" w:space="0" w:color="auto"/>
            </w:tcBorders>
            <w:shd w:val="clear" w:color="auto" w:fill="EDE4D5"/>
            <w:hideMark/>
          </w:tcPr>
          <w:p w14:paraId="1296454E" w14:textId="5CCAB71D" w:rsidR="00DE7675" w:rsidRPr="00DE7675" w:rsidRDefault="00DE7675" w:rsidP="00DE7675">
            <w:pPr>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3%</w:t>
            </w:r>
          </w:p>
        </w:tc>
      </w:tr>
      <w:tr w:rsidR="00DE7675" w:rsidRPr="002255B3" w14:paraId="1351BD08" w14:textId="77777777" w:rsidTr="00C54144">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15" w:type="dxa"/>
            <w:shd w:val="clear" w:color="auto" w:fill="B1CECA"/>
            <w:hideMark/>
          </w:tcPr>
          <w:p w14:paraId="14AA2C9E" w14:textId="77777777" w:rsidR="00DE7675" w:rsidRPr="002255B3" w:rsidRDefault="00DE7675" w:rsidP="00DE7675">
            <w:pPr>
              <w:rPr>
                <w:sz w:val="18"/>
                <w:szCs w:val="18"/>
              </w:rPr>
            </w:pPr>
            <w:r w:rsidRPr="002255B3">
              <w:rPr>
                <w:sz w:val="18"/>
                <w:szCs w:val="18"/>
              </w:rPr>
              <w:t>RTF Meeting Support</w:t>
            </w:r>
          </w:p>
        </w:tc>
        <w:tc>
          <w:tcPr>
            <w:tcW w:w="1125" w:type="dxa"/>
            <w:shd w:val="clear" w:color="auto" w:fill="B1CECA"/>
            <w:noWrap/>
            <w:hideMark/>
          </w:tcPr>
          <w:p w14:paraId="5F7E6DCE" w14:textId="17BA188C" w:rsidR="00DE7675" w:rsidRPr="00DE7675" w:rsidRDefault="00D53287" w:rsidP="00DE7675">
            <w:pPr>
              <w:jc w:val="right"/>
              <w:cnfStyle w:val="000000010000" w:firstRow="0" w:lastRow="0" w:firstColumn="0" w:lastColumn="0" w:oddVBand="0" w:evenVBand="0" w:oddHBand="0" w:evenHBand="1" w:firstRowFirstColumn="0" w:firstRowLastColumn="0" w:lastRowFirstColumn="0" w:lastRowLastColumn="0"/>
              <w:rPr>
                <w:sz w:val="18"/>
                <w:szCs w:val="18"/>
              </w:rPr>
            </w:pPr>
            <w:r>
              <w:rPr>
                <w:color w:val="000000"/>
                <w:sz w:val="18"/>
                <w:szCs w:val="18"/>
              </w:rPr>
              <w:t>$148,000</w:t>
            </w:r>
          </w:p>
        </w:tc>
        <w:tc>
          <w:tcPr>
            <w:tcW w:w="1305" w:type="dxa"/>
            <w:tcBorders>
              <w:right w:val="single" w:sz="18" w:space="0" w:color="000000" w:themeColor="text1"/>
            </w:tcBorders>
            <w:shd w:val="clear" w:color="auto" w:fill="B1CECA"/>
            <w:noWrap/>
            <w:hideMark/>
          </w:tcPr>
          <w:p w14:paraId="104771D3" w14:textId="049AAD16" w:rsidR="00DE7675" w:rsidRPr="00DE7675" w:rsidRDefault="00D53287" w:rsidP="00DE7675">
            <w:pPr>
              <w:jc w:val="right"/>
              <w:cnfStyle w:val="000000010000" w:firstRow="0" w:lastRow="0" w:firstColumn="0" w:lastColumn="0" w:oddVBand="0" w:evenVBand="0" w:oddHBand="0" w:evenHBand="1" w:firstRowFirstColumn="0" w:firstRowLastColumn="0" w:lastRowFirstColumn="0" w:lastRowLastColumn="0"/>
              <w:rPr>
                <w:sz w:val="18"/>
                <w:szCs w:val="18"/>
              </w:rPr>
            </w:pPr>
            <w:r>
              <w:rPr>
                <w:color w:val="000000"/>
                <w:sz w:val="18"/>
                <w:szCs w:val="18"/>
              </w:rPr>
              <w:t>$78,000</w:t>
            </w:r>
          </w:p>
        </w:tc>
        <w:tc>
          <w:tcPr>
            <w:tcW w:w="1305" w:type="dxa"/>
            <w:tcBorders>
              <w:left w:val="single" w:sz="18" w:space="0" w:color="000000" w:themeColor="text1"/>
              <w:right w:val="single" w:sz="18" w:space="0" w:color="auto"/>
            </w:tcBorders>
            <w:shd w:val="clear" w:color="auto" w:fill="B1CECA"/>
            <w:noWrap/>
            <w:hideMark/>
          </w:tcPr>
          <w:p w14:paraId="6232D9CC" w14:textId="624860DA" w:rsidR="00DE7675" w:rsidRPr="00DE7675" w:rsidRDefault="00D53287" w:rsidP="00DE7675">
            <w:pPr>
              <w:jc w:val="right"/>
              <w:cnfStyle w:val="000000010000" w:firstRow="0" w:lastRow="0" w:firstColumn="0" w:lastColumn="0" w:oddVBand="0" w:evenVBand="0" w:oddHBand="0" w:evenHBand="1" w:firstRowFirstColumn="0" w:firstRowLastColumn="0" w:lastRowFirstColumn="0" w:lastRowLastColumn="0"/>
              <w:rPr>
                <w:sz w:val="18"/>
                <w:szCs w:val="18"/>
              </w:rPr>
            </w:pPr>
            <w:r>
              <w:rPr>
                <w:color w:val="000000"/>
                <w:sz w:val="18"/>
                <w:szCs w:val="18"/>
              </w:rPr>
              <w:t>$226,000</w:t>
            </w:r>
          </w:p>
        </w:tc>
        <w:tc>
          <w:tcPr>
            <w:tcW w:w="1305" w:type="dxa"/>
            <w:tcBorders>
              <w:left w:val="single" w:sz="18" w:space="0" w:color="auto"/>
              <w:right w:val="single" w:sz="18" w:space="0" w:color="auto"/>
            </w:tcBorders>
            <w:shd w:val="clear" w:color="auto" w:fill="B1CECA"/>
            <w:noWrap/>
            <w:hideMark/>
          </w:tcPr>
          <w:p w14:paraId="53DA62F7" w14:textId="61F843C8" w:rsidR="00DE7675" w:rsidRPr="00DE7675" w:rsidRDefault="00DE7675" w:rsidP="00DE7675">
            <w:pPr>
              <w:jc w:val="right"/>
              <w:cnfStyle w:val="000000010000" w:firstRow="0" w:lastRow="0" w:firstColumn="0" w:lastColumn="0" w:oddVBand="0" w:evenVBand="0" w:oddHBand="0" w:evenHBand="1" w:firstRowFirstColumn="0" w:firstRowLastColumn="0" w:lastRowFirstColumn="0" w:lastRowLastColumn="0"/>
              <w:rPr>
                <w:sz w:val="18"/>
                <w:szCs w:val="18"/>
              </w:rPr>
            </w:pPr>
            <w:r w:rsidRPr="00DE7675">
              <w:rPr>
                <w:color w:val="000000"/>
                <w:sz w:val="18"/>
                <w:szCs w:val="18"/>
              </w:rPr>
              <w:t xml:space="preserve">$10,000 </w:t>
            </w:r>
          </w:p>
        </w:tc>
        <w:tc>
          <w:tcPr>
            <w:tcW w:w="900" w:type="dxa"/>
            <w:tcBorders>
              <w:left w:val="single" w:sz="18" w:space="0" w:color="auto"/>
            </w:tcBorders>
            <w:shd w:val="clear" w:color="auto" w:fill="B1CECA"/>
            <w:hideMark/>
          </w:tcPr>
          <w:p w14:paraId="7C13813B" w14:textId="04F56F1B" w:rsidR="00DE7675" w:rsidRPr="00DE7675" w:rsidRDefault="00D53287" w:rsidP="00DE7675">
            <w:pPr>
              <w:cnfStyle w:val="000000010000" w:firstRow="0" w:lastRow="0" w:firstColumn="0" w:lastColumn="0" w:oddVBand="0" w:evenVBand="0" w:oddHBand="0" w:evenHBand="1" w:firstRowFirstColumn="0" w:firstRowLastColumn="0" w:lastRowFirstColumn="0" w:lastRowLastColumn="0"/>
              <w:rPr>
                <w:sz w:val="18"/>
                <w:szCs w:val="18"/>
              </w:rPr>
            </w:pPr>
            <w:r>
              <w:rPr>
                <w:color w:val="000000"/>
                <w:sz w:val="18"/>
                <w:szCs w:val="18"/>
              </w:rPr>
              <w:t>11%</w:t>
            </w:r>
          </w:p>
        </w:tc>
      </w:tr>
      <w:tr w:rsidR="00DE7675" w:rsidRPr="002255B3" w14:paraId="02361D38" w14:textId="77777777" w:rsidTr="00C5414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15" w:type="dxa"/>
            <w:shd w:val="clear" w:color="auto" w:fill="EDE4D5"/>
            <w:hideMark/>
          </w:tcPr>
          <w:p w14:paraId="41CD947A" w14:textId="77777777" w:rsidR="00DE7675" w:rsidRPr="002255B3" w:rsidRDefault="00DE7675" w:rsidP="00DE7675">
            <w:pPr>
              <w:rPr>
                <w:sz w:val="18"/>
                <w:szCs w:val="18"/>
              </w:rPr>
            </w:pPr>
            <w:r w:rsidRPr="002255B3">
              <w:rPr>
                <w:sz w:val="18"/>
                <w:szCs w:val="18"/>
              </w:rPr>
              <w:t>RTF Management</w:t>
            </w:r>
          </w:p>
        </w:tc>
        <w:tc>
          <w:tcPr>
            <w:tcW w:w="1125" w:type="dxa"/>
            <w:shd w:val="clear" w:color="auto" w:fill="EDE4D5"/>
            <w:noWrap/>
            <w:hideMark/>
          </w:tcPr>
          <w:p w14:paraId="06C5EB7C" w14:textId="3F6C9082" w:rsidR="00DE7675" w:rsidRPr="00DE7675" w:rsidRDefault="00DE7675"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 xml:space="preserve">$4,000 </w:t>
            </w:r>
          </w:p>
        </w:tc>
        <w:tc>
          <w:tcPr>
            <w:tcW w:w="1305" w:type="dxa"/>
            <w:tcBorders>
              <w:right w:val="single" w:sz="18" w:space="0" w:color="000000" w:themeColor="text1"/>
            </w:tcBorders>
            <w:shd w:val="clear" w:color="auto" w:fill="EDE4D5"/>
            <w:noWrap/>
            <w:hideMark/>
          </w:tcPr>
          <w:p w14:paraId="71E79B62" w14:textId="1CCE8357" w:rsidR="00DE7675" w:rsidRPr="00DE7675" w:rsidRDefault="00DE7675"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 xml:space="preserve">$179,500 </w:t>
            </w:r>
          </w:p>
        </w:tc>
        <w:tc>
          <w:tcPr>
            <w:tcW w:w="1305" w:type="dxa"/>
            <w:tcBorders>
              <w:left w:val="single" w:sz="18" w:space="0" w:color="000000" w:themeColor="text1"/>
              <w:right w:val="single" w:sz="18" w:space="0" w:color="auto"/>
            </w:tcBorders>
            <w:shd w:val="clear" w:color="auto" w:fill="EDE4D5"/>
            <w:noWrap/>
            <w:hideMark/>
          </w:tcPr>
          <w:p w14:paraId="1DD000CD" w14:textId="690E5021" w:rsidR="00DE7675" w:rsidRPr="00DE7675" w:rsidRDefault="00DE7675"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 xml:space="preserve">$183,500 </w:t>
            </w:r>
          </w:p>
        </w:tc>
        <w:tc>
          <w:tcPr>
            <w:tcW w:w="1305" w:type="dxa"/>
            <w:tcBorders>
              <w:left w:val="single" w:sz="18" w:space="0" w:color="auto"/>
              <w:right w:val="single" w:sz="18" w:space="0" w:color="auto"/>
            </w:tcBorders>
            <w:shd w:val="clear" w:color="auto" w:fill="EDE4D5"/>
            <w:noWrap/>
            <w:hideMark/>
          </w:tcPr>
          <w:p w14:paraId="4FBB705E" w14:textId="5661F406" w:rsidR="00DE7675" w:rsidRPr="00DE7675" w:rsidRDefault="00DE7675" w:rsidP="00DE7675">
            <w:pPr>
              <w:jc w:val="right"/>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 xml:space="preserve">$66,500 </w:t>
            </w:r>
          </w:p>
        </w:tc>
        <w:tc>
          <w:tcPr>
            <w:tcW w:w="900" w:type="dxa"/>
            <w:tcBorders>
              <w:left w:val="single" w:sz="18" w:space="0" w:color="auto"/>
            </w:tcBorders>
            <w:shd w:val="clear" w:color="auto" w:fill="EDE4D5"/>
            <w:hideMark/>
          </w:tcPr>
          <w:p w14:paraId="64D2B351" w14:textId="2DD7749B" w:rsidR="00DE7675" w:rsidRPr="00DE7675" w:rsidRDefault="00DE7675" w:rsidP="00DE7675">
            <w:pPr>
              <w:cnfStyle w:val="000000100000" w:firstRow="0" w:lastRow="0" w:firstColumn="0" w:lastColumn="0" w:oddVBand="0" w:evenVBand="0" w:oddHBand="1" w:evenHBand="0" w:firstRowFirstColumn="0" w:firstRowLastColumn="0" w:lastRowFirstColumn="0" w:lastRowLastColumn="0"/>
              <w:rPr>
                <w:sz w:val="18"/>
                <w:szCs w:val="18"/>
              </w:rPr>
            </w:pPr>
            <w:r w:rsidRPr="00DE7675">
              <w:rPr>
                <w:color w:val="000000"/>
                <w:sz w:val="18"/>
                <w:szCs w:val="18"/>
              </w:rPr>
              <w:t>9%</w:t>
            </w:r>
          </w:p>
        </w:tc>
      </w:tr>
      <w:tr w:rsidR="00DE7675" w:rsidRPr="002255B3" w14:paraId="69203D0C" w14:textId="77777777" w:rsidTr="00C54144">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15" w:type="dxa"/>
            <w:shd w:val="clear" w:color="auto" w:fill="336E7E"/>
            <w:hideMark/>
          </w:tcPr>
          <w:p w14:paraId="710BAB4F" w14:textId="7A5F67A6" w:rsidR="00DE7675" w:rsidRPr="002255B3" w:rsidRDefault="00DE7675" w:rsidP="00DE7675">
            <w:pPr>
              <w:rPr>
                <w:b/>
                <w:color w:val="FFFFFF" w:themeColor="background1"/>
                <w:sz w:val="18"/>
                <w:szCs w:val="18"/>
              </w:rPr>
            </w:pPr>
            <w:r w:rsidRPr="002255B3">
              <w:rPr>
                <w:b/>
                <w:color w:val="FFFFFF" w:themeColor="background1"/>
                <w:sz w:val="18"/>
                <w:szCs w:val="18"/>
              </w:rPr>
              <w:t>Total</w:t>
            </w:r>
          </w:p>
        </w:tc>
        <w:tc>
          <w:tcPr>
            <w:tcW w:w="1125" w:type="dxa"/>
            <w:shd w:val="clear" w:color="auto" w:fill="336E7E"/>
            <w:noWrap/>
            <w:hideMark/>
          </w:tcPr>
          <w:p w14:paraId="67B7D7DB" w14:textId="4BFF4CA2" w:rsidR="00DE7675" w:rsidRPr="002255B3" w:rsidRDefault="00D53287" w:rsidP="00DE7675">
            <w:pPr>
              <w:jc w:val="right"/>
              <w:cnfStyle w:val="000000010000" w:firstRow="0" w:lastRow="0" w:firstColumn="0" w:lastColumn="0" w:oddVBand="0" w:evenVBand="0" w:oddHBand="0" w:evenHBand="1" w:firstRowFirstColumn="0" w:firstRowLastColumn="0" w:lastRowFirstColumn="0" w:lastRowLastColumn="0"/>
              <w:rPr>
                <w:b/>
                <w:bCs/>
                <w:color w:val="FFFFFF" w:themeColor="background1"/>
                <w:sz w:val="18"/>
                <w:szCs w:val="18"/>
              </w:rPr>
            </w:pPr>
            <w:r>
              <w:rPr>
                <w:b/>
                <w:bCs/>
                <w:color w:val="FFFFFF" w:themeColor="background1"/>
                <w:sz w:val="18"/>
                <w:szCs w:val="18"/>
              </w:rPr>
              <w:t>$595,800</w:t>
            </w:r>
          </w:p>
        </w:tc>
        <w:tc>
          <w:tcPr>
            <w:tcW w:w="1305" w:type="dxa"/>
            <w:tcBorders>
              <w:right w:val="single" w:sz="18" w:space="0" w:color="000000" w:themeColor="text1"/>
            </w:tcBorders>
            <w:shd w:val="clear" w:color="auto" w:fill="336E7E"/>
            <w:noWrap/>
            <w:hideMark/>
          </w:tcPr>
          <w:p w14:paraId="12E0DB88" w14:textId="41DD7771" w:rsidR="00DE7675" w:rsidRPr="002255B3" w:rsidRDefault="00D53287" w:rsidP="00DE7675">
            <w:pPr>
              <w:jc w:val="right"/>
              <w:cnfStyle w:val="000000010000" w:firstRow="0" w:lastRow="0" w:firstColumn="0" w:lastColumn="0" w:oddVBand="0" w:evenVBand="0" w:oddHBand="0" w:evenHBand="1" w:firstRowFirstColumn="0" w:firstRowLastColumn="0" w:lastRowFirstColumn="0" w:lastRowLastColumn="0"/>
              <w:rPr>
                <w:b/>
                <w:bCs/>
                <w:color w:val="FFFFFF" w:themeColor="background1"/>
                <w:sz w:val="18"/>
                <w:szCs w:val="18"/>
              </w:rPr>
            </w:pPr>
            <w:r>
              <w:rPr>
                <w:b/>
                <w:bCs/>
                <w:color w:val="FFFFFF" w:themeColor="background1"/>
                <w:sz w:val="18"/>
                <w:szCs w:val="18"/>
              </w:rPr>
              <w:t>$1,404,200</w:t>
            </w:r>
          </w:p>
        </w:tc>
        <w:tc>
          <w:tcPr>
            <w:tcW w:w="1305" w:type="dxa"/>
            <w:tcBorders>
              <w:left w:val="single" w:sz="18" w:space="0" w:color="000000" w:themeColor="text1"/>
              <w:right w:val="single" w:sz="18" w:space="0" w:color="auto"/>
            </w:tcBorders>
            <w:shd w:val="clear" w:color="auto" w:fill="336E7E"/>
            <w:noWrap/>
            <w:hideMark/>
          </w:tcPr>
          <w:p w14:paraId="18744621" w14:textId="65F528CE" w:rsidR="00DE7675" w:rsidRPr="00DE7675" w:rsidRDefault="00D53287" w:rsidP="00DE7675">
            <w:pPr>
              <w:jc w:val="right"/>
              <w:cnfStyle w:val="000000010000" w:firstRow="0" w:lastRow="0" w:firstColumn="0" w:lastColumn="0" w:oddVBand="0" w:evenVBand="0" w:oddHBand="0" w:evenHBand="1" w:firstRowFirstColumn="0" w:firstRowLastColumn="0" w:lastRowFirstColumn="0" w:lastRowLastColumn="0"/>
              <w:rPr>
                <w:b/>
                <w:bCs/>
                <w:color w:val="FFFFFF" w:themeColor="background1"/>
                <w:sz w:val="18"/>
                <w:szCs w:val="18"/>
              </w:rPr>
            </w:pPr>
            <w:r>
              <w:rPr>
                <w:b/>
                <w:bCs/>
                <w:color w:val="FFFFFF" w:themeColor="background1"/>
                <w:sz w:val="18"/>
                <w:szCs w:val="18"/>
              </w:rPr>
              <w:t>$2,000,000</w:t>
            </w:r>
          </w:p>
        </w:tc>
        <w:tc>
          <w:tcPr>
            <w:tcW w:w="1305" w:type="dxa"/>
            <w:tcBorders>
              <w:left w:val="single" w:sz="18" w:space="0" w:color="auto"/>
              <w:right w:val="single" w:sz="18" w:space="0" w:color="auto"/>
            </w:tcBorders>
            <w:shd w:val="clear" w:color="auto" w:fill="336E7E"/>
            <w:noWrap/>
            <w:hideMark/>
          </w:tcPr>
          <w:p w14:paraId="3FB324C6" w14:textId="436BBD76" w:rsidR="00DE7675" w:rsidRPr="00DE7675" w:rsidRDefault="00DE7675" w:rsidP="00DE7675">
            <w:pPr>
              <w:jc w:val="right"/>
              <w:cnfStyle w:val="000000010000" w:firstRow="0" w:lastRow="0" w:firstColumn="0" w:lastColumn="0" w:oddVBand="0" w:evenVBand="0" w:oddHBand="0" w:evenHBand="1" w:firstRowFirstColumn="0" w:firstRowLastColumn="0" w:lastRowFirstColumn="0" w:lastRowLastColumn="0"/>
              <w:rPr>
                <w:b/>
                <w:bCs/>
                <w:color w:val="FFFFFF" w:themeColor="background1"/>
                <w:sz w:val="18"/>
                <w:szCs w:val="18"/>
              </w:rPr>
            </w:pPr>
            <w:r w:rsidRPr="00DE7675">
              <w:rPr>
                <w:b/>
                <w:bCs/>
                <w:color w:val="FFFFFF" w:themeColor="background1"/>
                <w:sz w:val="18"/>
                <w:szCs w:val="18"/>
              </w:rPr>
              <w:t>$180</w:t>
            </w:r>
            <w:r w:rsidR="00C90356">
              <w:rPr>
                <w:b/>
                <w:bCs/>
                <w:color w:val="FFFFFF" w:themeColor="background1"/>
                <w:sz w:val="18"/>
                <w:szCs w:val="18"/>
              </w:rPr>
              <w:t>,595</w:t>
            </w:r>
            <w:r w:rsidRPr="00DE7675">
              <w:rPr>
                <w:b/>
                <w:bCs/>
                <w:color w:val="FFFFFF" w:themeColor="background1"/>
                <w:sz w:val="18"/>
                <w:szCs w:val="18"/>
              </w:rPr>
              <w:t xml:space="preserve"> </w:t>
            </w:r>
          </w:p>
        </w:tc>
        <w:tc>
          <w:tcPr>
            <w:tcW w:w="900" w:type="dxa"/>
            <w:tcBorders>
              <w:left w:val="single" w:sz="18" w:space="0" w:color="auto"/>
            </w:tcBorders>
            <w:shd w:val="clear" w:color="auto" w:fill="336E7E"/>
            <w:hideMark/>
          </w:tcPr>
          <w:p w14:paraId="56969007" w14:textId="427241D3" w:rsidR="00DE7675" w:rsidRPr="00DE7675" w:rsidRDefault="00DE7675" w:rsidP="00DE7675">
            <w:pPr>
              <w:cnfStyle w:val="000000010000" w:firstRow="0" w:lastRow="0" w:firstColumn="0" w:lastColumn="0" w:oddVBand="0" w:evenVBand="0" w:oddHBand="0" w:evenHBand="1" w:firstRowFirstColumn="0" w:firstRowLastColumn="0" w:lastRowFirstColumn="0" w:lastRowLastColumn="0"/>
              <w:rPr>
                <w:b/>
                <w:bCs/>
                <w:color w:val="FFFFFF" w:themeColor="background1"/>
                <w:sz w:val="18"/>
                <w:szCs w:val="18"/>
              </w:rPr>
            </w:pPr>
            <w:r w:rsidRPr="00DE7675">
              <w:rPr>
                <w:b/>
                <w:bCs/>
                <w:color w:val="FFFFFF" w:themeColor="background1"/>
                <w:sz w:val="18"/>
                <w:szCs w:val="18"/>
              </w:rPr>
              <w:t>100%</w:t>
            </w:r>
          </w:p>
        </w:tc>
      </w:tr>
    </w:tbl>
    <w:p w14:paraId="0E83A166" w14:textId="70271907" w:rsidR="00FA4D44" w:rsidRDefault="00FA4D44" w:rsidP="00594F56"/>
    <w:p w14:paraId="26F8075F" w14:textId="5C7DA7A5" w:rsidR="00DE7675" w:rsidRDefault="00DE7675" w:rsidP="00594F56">
      <w:r>
        <w:t xml:space="preserve">As shown in </w:t>
      </w:r>
      <w:r>
        <w:fldChar w:fldCharType="begin"/>
      </w:r>
      <w:r>
        <w:instrText xml:space="preserve"> REF _Ref45633523 \h </w:instrText>
      </w:r>
      <w:r>
        <w:fldChar w:fldCharType="separate"/>
      </w:r>
      <w:r>
        <w:t xml:space="preserve">Table </w:t>
      </w:r>
      <w:r>
        <w:rPr>
          <w:noProof/>
        </w:rPr>
        <w:t>4</w:t>
      </w:r>
      <w:r>
        <w:fldChar w:fldCharType="end"/>
      </w:r>
      <w:r>
        <w:t xml:space="preserve">, the total spending anticipated in 2021 is greater than the initial agreed to amount </w:t>
      </w:r>
      <w:r w:rsidR="00C90356">
        <w:t>in the strategic plan ($1,845,000)</w:t>
      </w:r>
      <w:r>
        <w:t>. This increase is a result of the following:</w:t>
      </w:r>
    </w:p>
    <w:p w14:paraId="153F2A5B" w14:textId="630C94C3" w:rsidR="005578E2" w:rsidRDefault="005578E2" w:rsidP="005578E2">
      <w:pPr>
        <w:pStyle w:val="ListParagraph"/>
        <w:numPr>
          <w:ilvl w:val="0"/>
          <w:numId w:val="14"/>
        </w:numPr>
      </w:pPr>
      <w:r>
        <w:t>Application of $</w:t>
      </w:r>
      <w:r w:rsidR="00C90356">
        <w:t>10</w:t>
      </w:r>
      <w:r>
        <w:t xml:space="preserve">0,000 of carryover funds from previous RTF cycles. </w:t>
      </w:r>
    </w:p>
    <w:p w14:paraId="6B3A509E" w14:textId="4AC79D86" w:rsidR="001C496A" w:rsidRDefault="001C496A" w:rsidP="001C496A">
      <w:pPr>
        <w:pStyle w:val="ListParagraph"/>
        <w:numPr>
          <w:ilvl w:val="0"/>
          <w:numId w:val="14"/>
        </w:numPr>
      </w:pPr>
      <w:r>
        <w:t>A</w:t>
      </w:r>
      <w:r w:rsidR="00DD7B48">
        <w:t>pplication</w:t>
      </w:r>
      <w:r w:rsidR="00DE7675">
        <w:t xml:space="preserve"> of </w:t>
      </w:r>
      <w:r w:rsidR="005578E2">
        <w:t xml:space="preserve">up to </w:t>
      </w:r>
      <w:r w:rsidR="00DD7B48">
        <w:t xml:space="preserve">$55,000 of rollover funds from the 2020 work plan year ($45,000 electric, $10,000 gas). These funds result from a combination of unallocated/unspent funds anticipated in the 2020 work plan. The </w:t>
      </w:r>
      <w:r>
        <w:t>biggest driver of 2020 underspend was COVID-19 impacts on RTF meeting and contract analyst team workflow.</w:t>
      </w:r>
      <w:r w:rsidR="005578E2">
        <w:rPr>
          <w:rStyle w:val="FootnoteReference"/>
        </w:rPr>
        <w:footnoteReference w:id="1"/>
      </w:r>
    </w:p>
    <w:p w14:paraId="7A642662" w14:textId="3FC379D9" w:rsidR="00DE7675" w:rsidRDefault="001C496A" w:rsidP="00594F56">
      <w:r>
        <w:t xml:space="preserve">The additional funds are specifically </w:t>
      </w:r>
      <w:r w:rsidR="00C90356">
        <w:t>designated to support</w:t>
      </w:r>
      <w:r>
        <w:t xml:space="preserve"> for contract RFP work</w:t>
      </w:r>
      <w:r w:rsidR="00C90356">
        <w:t>. These are called out specifically below and identified in the budget in the Category Detail (2021) and Funding Shares worksheets.</w:t>
      </w:r>
    </w:p>
    <w:p w14:paraId="4CE773B8" w14:textId="1B79BE54" w:rsidR="00594F56" w:rsidRDefault="006432B1" w:rsidP="00594F56">
      <w:pPr>
        <w:pStyle w:val="Heading2"/>
      </w:pPr>
      <w:r w:rsidRPr="003522AE">
        <w:t>Measure Analysis</w:t>
      </w:r>
    </w:p>
    <w:p w14:paraId="251EDDC9" w14:textId="77777777" w:rsidR="00847E02" w:rsidRDefault="00847E02" w:rsidP="00847E02">
      <w:r>
        <w:t>Approximately 50 percent of the five-year budget is anticipated to directly support measure analysis. This includes maintenance of the existing measure library, the addition of new measures, and activities associated with ensuring consistency in analysis approach across the entire measure suite.</w:t>
      </w:r>
    </w:p>
    <w:p w14:paraId="195E252A" w14:textId="5AA3677F" w:rsidR="00847E02" w:rsidRDefault="00847E02" w:rsidP="00021E0E">
      <w:pPr>
        <w:pStyle w:val="Heading3"/>
      </w:pPr>
      <w:r w:rsidRPr="009359C1">
        <w:t>Existing Measure</w:t>
      </w:r>
      <w:r w:rsidR="00021E0E" w:rsidRPr="009359C1">
        <w:t xml:space="preserve"> Maintenance</w:t>
      </w:r>
    </w:p>
    <w:p w14:paraId="5E98F533" w14:textId="46409B1F" w:rsidR="00D477C6" w:rsidRDefault="00EC664D" w:rsidP="00847E02">
      <w:r>
        <w:t xml:space="preserve">One half of the measure analysis work is focused on the maintenance of existing measures. </w:t>
      </w:r>
      <w:r w:rsidR="00847E02">
        <w:t xml:space="preserve">The pace of existing measure review and update is driven by the sunset dates of measures. The RTF assigns sunset dates that range from one to five years based on the specific </w:t>
      </w:r>
      <w:r w:rsidR="00847E02">
        <w:lastRenderedPageBreak/>
        <w:t>circumstances of a measure. For example, the RTF typically applies shorter sunset dates for measures in markets that are changing rapidly to keep pace with that change, where as it applies longer sunset dates to more stable markets and measures. Other factors that will impact sunset dates are anticipated updates to Federal or state codes and standards, updates to ENERGY STAR specification</w:t>
      </w:r>
      <w:r w:rsidR="007B2F47">
        <w:t>s</w:t>
      </w:r>
      <w:r w:rsidR="00847E02">
        <w:t xml:space="preserve">, or </w:t>
      </w:r>
      <w:r w:rsidR="00D477C6">
        <w:t>anticipation of new data. The number of anticipated measures sunsetting or otherwise requiring review in any given year of the funding cycle ranges between 16 and 26 measures. This assumption is in</w:t>
      </w:r>
      <w:r w:rsidR="00C54144">
        <w:t xml:space="preserve"> </w:t>
      </w:r>
      <w:r w:rsidR="00D477C6">
        <w:t xml:space="preserve">line with the 2015 to 2018 funding cycle, during which time the number of existing measures considered in any year ranged from 15 to 30. </w:t>
      </w:r>
    </w:p>
    <w:p w14:paraId="47840B5D" w14:textId="1CEBAE4F" w:rsidR="005578E2" w:rsidRDefault="00D477C6" w:rsidP="003522AE">
      <w:r>
        <w:t>The 202</w:t>
      </w:r>
      <w:r w:rsidR="005578E2">
        <w:t>1</w:t>
      </w:r>
      <w:r>
        <w:t xml:space="preserve"> work plan assumes updates to 2</w:t>
      </w:r>
      <w:r w:rsidR="00E0591F">
        <w:t>8</w:t>
      </w:r>
      <w:r>
        <w:t xml:space="preserve"> of its existing measures. </w:t>
      </w:r>
      <w:r w:rsidR="005578E2">
        <w:t>This is driven by the sunset dates of 18 electric measures and 1</w:t>
      </w:r>
      <w:r w:rsidR="00E0591F">
        <w:t xml:space="preserve">0 </w:t>
      </w:r>
      <w:r w:rsidR="005578E2">
        <w:t xml:space="preserve">dual fuel measures. </w:t>
      </w:r>
      <w:r w:rsidR="009359C1">
        <w:t>The work includes measure review and update by the contract analyst team and quality control/quality assurance review by an outside contractor.</w:t>
      </w:r>
    </w:p>
    <w:p w14:paraId="4AC1C146" w14:textId="444E4234" w:rsidR="005578E2" w:rsidRDefault="005578E2" w:rsidP="003522AE">
      <w:r>
        <w:t xml:space="preserve">In 2021, the RTF will also apply </w:t>
      </w:r>
      <w:r w:rsidR="009359C1">
        <w:t xml:space="preserve">$15,000 of rollover funds from 2020 to analysis in support of a variable frequency drive measure. </w:t>
      </w:r>
    </w:p>
    <w:p w14:paraId="42A5CDA5" w14:textId="44487E18" w:rsidR="00021E0E" w:rsidRDefault="00021E0E" w:rsidP="00B0071E">
      <w:pPr>
        <w:pStyle w:val="Heading3"/>
      </w:pPr>
      <w:r w:rsidRPr="009359C1">
        <w:t>New Measure Development</w:t>
      </w:r>
    </w:p>
    <w:p w14:paraId="54E9FF2E" w14:textId="691D7859" w:rsidR="00B0071E" w:rsidRDefault="00021E0E" w:rsidP="00847E02">
      <w:r>
        <w:t xml:space="preserve">The RTF is continually seeking ways to provide value to the region’s utilities. As efficiency programs are successful in transforming markets, emerging technologies are going to be important for meeting future efficiency goals. To support this need, the RTF </w:t>
      </w:r>
      <w:r w:rsidR="00EC664D">
        <w:t xml:space="preserve">is allocating approximately 15 percent </w:t>
      </w:r>
      <w:r w:rsidR="005B4352">
        <w:t xml:space="preserve">of its </w:t>
      </w:r>
      <w:r w:rsidR="009359C1">
        <w:t>five-year budget to</w:t>
      </w:r>
      <w:r w:rsidR="005B4352">
        <w:t xml:space="preserve"> assessing new measure opportunities. The estimate of new measure work varies each year, with the anticipation of between</w:t>
      </w:r>
      <w:r>
        <w:t xml:space="preserve"> six </w:t>
      </w:r>
      <w:r w:rsidR="00D835E0">
        <w:t xml:space="preserve">and </w:t>
      </w:r>
      <w:r>
        <w:t>nine new measures annually. The exact number of measures in any given year is highly uncertain, as it is driven primarily by utilities</w:t>
      </w:r>
      <w:r w:rsidR="007B2F47">
        <w:t>’</w:t>
      </w:r>
      <w:r>
        <w:t xml:space="preserve"> needs.</w:t>
      </w:r>
      <w:r w:rsidR="00B0071E">
        <w:t xml:space="preserve"> For reference, the RTF developed between two and nine new measures in any given year of the 2015 to 2019 funding cycle.</w:t>
      </w:r>
    </w:p>
    <w:p w14:paraId="535D29BE" w14:textId="5FD13120" w:rsidR="00B0071E" w:rsidRDefault="00B0071E" w:rsidP="00B0071E">
      <w:r>
        <w:t>The 202</w:t>
      </w:r>
      <w:r w:rsidR="009359C1">
        <w:t>1</w:t>
      </w:r>
      <w:r>
        <w:t xml:space="preserve"> work plan assumes development of </w:t>
      </w:r>
      <w:r w:rsidR="009359C1">
        <w:t>ten</w:t>
      </w:r>
      <w:r>
        <w:t xml:space="preserve"> new measures. </w:t>
      </w:r>
      <w:r w:rsidR="009359C1">
        <w:t>There are several potential new measures in the RTF queue, and prioritizing funding on development of these measures will help to expand the RTF library in support of regional efficiency program needs. This assumes five new electric, two new dual fuel, and two new gas measures. This also assumes that the RTF will continue to focus some effort on providing guidance for reliable savings estimation of complex programs.</w:t>
      </w:r>
    </w:p>
    <w:p w14:paraId="252EE5EE" w14:textId="5BFE64CB" w:rsidR="009359C1" w:rsidRDefault="009359C1" w:rsidP="00B0071E">
      <w:r>
        <w:t xml:space="preserve">In 2021, the RTF will apply $15,000 of rollover funds from 2020 to support analysis of residential behavior program saving estimation.  </w:t>
      </w:r>
    </w:p>
    <w:p w14:paraId="45D5E76F" w14:textId="77777777" w:rsidR="00B0071E" w:rsidRDefault="00B0071E" w:rsidP="00B0071E">
      <w:pPr>
        <w:pStyle w:val="Heading3"/>
      </w:pPr>
      <w:r w:rsidRPr="002327E1">
        <w:t>Standardization of Technical Analysis</w:t>
      </w:r>
    </w:p>
    <w:p w14:paraId="2AADD90F" w14:textId="188ADDD9" w:rsidR="00B0071E" w:rsidRDefault="00855922" w:rsidP="00B0071E">
      <w:r>
        <w:t xml:space="preserve">The RTF has made attempts over the last several years to improve the consistency of its analysis across measures. </w:t>
      </w:r>
      <w:r w:rsidR="00EC664D">
        <w:t xml:space="preserve">Key to this was the development of Guidelines and the establishment of a dedicated contract analyst team to perform the majority of the technical analysis. As part of the 2020 to 2024 funding cycle, the RTF </w:t>
      </w:r>
      <w:r w:rsidR="005B4352">
        <w:t xml:space="preserve">is allocating approximately 15 percent of its </w:t>
      </w:r>
      <w:r w:rsidR="002327E1">
        <w:t xml:space="preserve">five-year </w:t>
      </w:r>
      <w:r w:rsidR="005B4352">
        <w:t>budget to</w:t>
      </w:r>
      <w:r w:rsidR="00EC664D">
        <w:t xml:space="preserve"> ensuring thorough and consistent analysis across all its categories.</w:t>
      </w:r>
    </w:p>
    <w:p w14:paraId="3B1575C6" w14:textId="0EF1F483" w:rsidR="005B4352" w:rsidRDefault="005B4352" w:rsidP="00B0071E">
      <w:r>
        <w:t xml:space="preserve">The largest portion of this work is to support coordination and review across the contract analyst team. This work primarily takes place in the weekly contract analyst team meeting, during which </w:t>
      </w:r>
      <w:r>
        <w:lastRenderedPageBreak/>
        <w:t xml:space="preserve">the team reviews each other’s analysis, develops recommendations to the RTF for consideration, and explores new analytical techniques. </w:t>
      </w:r>
    </w:p>
    <w:p w14:paraId="0FDDADDE" w14:textId="1AFF8B95" w:rsidR="005B4352" w:rsidRDefault="005B4352" w:rsidP="00B0071E">
      <w:r>
        <w:t>Another piece of this work is the maintenance of the RTF Operative Guidelines and its Standard Information Workbook.</w:t>
      </w:r>
      <w:r w:rsidR="002327E1">
        <w:t xml:space="preserve"> Due to recent updates of both of these </w:t>
      </w:r>
      <w:r w:rsidR="00DD3D36">
        <w:t>documents</w:t>
      </w:r>
      <w:r w:rsidR="002327E1">
        <w:t xml:space="preserve">, the RTF does not anticipate any additional updates are required in 2021. The RTF will revisit both of these at least once more during the five-year Business Plan period. </w:t>
      </w:r>
    </w:p>
    <w:p w14:paraId="177B3AE9" w14:textId="61710BAF" w:rsidR="005B4352" w:rsidRDefault="005B4352" w:rsidP="005B4352">
      <w:pPr>
        <w:pStyle w:val="Heading3"/>
      </w:pPr>
      <w:r>
        <w:t>Support of Small and Rural Utilities</w:t>
      </w:r>
    </w:p>
    <w:p w14:paraId="7FCD797F" w14:textId="0EF178F2" w:rsidR="00D477C6" w:rsidRDefault="005B4352" w:rsidP="005B4352">
      <w:r>
        <w:t xml:space="preserve">The </w:t>
      </w:r>
      <w:r w:rsidR="00E55CB7">
        <w:t xml:space="preserve">RTF allocates a small portion of its </w:t>
      </w:r>
      <w:r w:rsidR="007B2F47">
        <w:t>new measure development</w:t>
      </w:r>
      <w:r w:rsidR="00F2135A">
        <w:t xml:space="preserve"> ($40,000 annually</w:t>
      </w:r>
      <w:r w:rsidR="003522AE">
        <w:t>, plus inflation</w:t>
      </w:r>
      <w:r w:rsidR="00F2135A">
        <w:t>)</w:t>
      </w:r>
      <w:r w:rsidR="00E55CB7">
        <w:t xml:space="preserve"> to support the needs of region’s small and rural utilities.</w:t>
      </w:r>
      <w:r w:rsidR="00F2135A">
        <w:t xml:space="preserve"> This includes a portion of one contract analyst</w:t>
      </w:r>
      <w:r w:rsidR="00D835E0">
        <w:t>’</w:t>
      </w:r>
      <w:r w:rsidR="00F2135A">
        <w:t xml:space="preserve">s time to support a standing subcommittee that discusses the applicability of existing RTF measures to small and rural utilities and explores potential refinements to measures to better meet their specific needs. This work also includes the development of new measures of specific interest to small and rural utilities that might not otherwise get developed for the RTF.  </w:t>
      </w:r>
      <w:r w:rsidR="00E55CB7">
        <w:t xml:space="preserve"> </w:t>
      </w:r>
    </w:p>
    <w:p w14:paraId="731B894B" w14:textId="798F5D27" w:rsidR="00276FE8" w:rsidRDefault="00276FE8" w:rsidP="00686A75">
      <w:pPr>
        <w:pStyle w:val="Heading2"/>
      </w:pPr>
      <w:r>
        <w:t>Tool Development</w:t>
      </w:r>
    </w:p>
    <w:p w14:paraId="76017298" w14:textId="6EDF24ED" w:rsidR="00596C31" w:rsidRDefault="00F2135A" w:rsidP="00F2135A">
      <w:r>
        <w:t>The RTF maintains a handful of tools to support measure development, including its cost-effectiveness tool (</w:t>
      </w:r>
      <w:proofErr w:type="spellStart"/>
      <w:r>
        <w:t>ProCost</w:t>
      </w:r>
      <w:proofErr w:type="spellEnd"/>
      <w:r>
        <w:t>) and building simu</w:t>
      </w:r>
      <w:r w:rsidR="007C021F">
        <w:t xml:space="preserve">lation </w:t>
      </w:r>
      <w:r w:rsidR="00596C31">
        <w:t>models</w:t>
      </w:r>
      <w:r w:rsidR="007C021F">
        <w:t xml:space="preserve"> to estimate energy savings</w:t>
      </w:r>
      <w:r>
        <w:t xml:space="preserve">. For the 2020 to 2024 funding cycle, the RTF is allocating approximately 7 percent of its </w:t>
      </w:r>
      <w:r w:rsidR="00C775DE">
        <w:t xml:space="preserve">five-year </w:t>
      </w:r>
      <w:r>
        <w:t>budget to this function</w:t>
      </w:r>
      <w:r w:rsidR="00EE5BF2">
        <w:t xml:space="preserve">. </w:t>
      </w:r>
      <w:r w:rsidR="00283576">
        <w:t>The annual funding level varie</w:t>
      </w:r>
      <w:r w:rsidR="00596C31">
        <w:t>s, as much of the work is tied to other regional efforts. Additionally, the RTF will spend more time on tool development when there are fewer measures requiring update or development.</w:t>
      </w:r>
    </w:p>
    <w:p w14:paraId="290DBBFE" w14:textId="77777777" w:rsidR="00596C31" w:rsidRDefault="00596C31" w:rsidP="00596C31">
      <w:pPr>
        <w:pStyle w:val="Heading3"/>
      </w:pPr>
      <w:proofErr w:type="spellStart"/>
      <w:r w:rsidRPr="004C5DD1">
        <w:t>ProCost</w:t>
      </w:r>
      <w:proofErr w:type="spellEnd"/>
    </w:p>
    <w:p w14:paraId="09DB4CBD" w14:textId="1DA077F5" w:rsidR="00C775DE" w:rsidRDefault="00596C31" w:rsidP="00F2135A">
      <w:r>
        <w:t xml:space="preserve">The RTF uses and maintains the Council’s cost-effectiveness tool. Given this, the </w:t>
      </w:r>
      <w:proofErr w:type="spellStart"/>
      <w:r>
        <w:t>ProCost</w:t>
      </w:r>
      <w:proofErr w:type="spellEnd"/>
      <w:r>
        <w:t xml:space="preserve"> development work is closely tied to the Council’s regional planning cycles. </w:t>
      </w:r>
      <w:r w:rsidR="00C775DE">
        <w:t xml:space="preserve">In 2021, the RTF is planning significant updates to </w:t>
      </w:r>
      <w:proofErr w:type="spellStart"/>
      <w:r w:rsidR="00C775DE">
        <w:t>ProCost</w:t>
      </w:r>
      <w:proofErr w:type="spellEnd"/>
      <w:r w:rsidR="00C775DE">
        <w:t xml:space="preserve">. The main driver for updates is to ensure alignment with Council 2021 Power Plan findings for cost-effective energy efficiency. The RTF is using this opportunity to rebuild </w:t>
      </w:r>
      <w:proofErr w:type="spellStart"/>
      <w:r w:rsidR="00C775DE">
        <w:t>ProCost</w:t>
      </w:r>
      <w:proofErr w:type="spellEnd"/>
      <w:r w:rsidR="00C775DE">
        <w:t xml:space="preserve"> for to streamline the code, increase transparency,</w:t>
      </w:r>
      <w:r w:rsidR="004C5DD1">
        <w:t xml:space="preserve"> and</w:t>
      </w:r>
      <w:r w:rsidR="00C775DE">
        <w:t xml:space="preserve"> improve functionality. Once updated, the RTF will rerun all measures through </w:t>
      </w:r>
      <w:proofErr w:type="spellStart"/>
      <w:r w:rsidR="00C775DE">
        <w:t>ProCost</w:t>
      </w:r>
      <w:proofErr w:type="spellEnd"/>
      <w:r w:rsidR="004C5DD1">
        <w:t xml:space="preserve"> and report out on changes in regional cost-effectiveness relative to the 2021 Power Plan findings. </w:t>
      </w:r>
    </w:p>
    <w:p w14:paraId="2D4CAD74" w14:textId="77777777" w:rsidR="00596C31" w:rsidRDefault="00596C31" w:rsidP="007C7956">
      <w:pPr>
        <w:pStyle w:val="Heading3"/>
      </w:pPr>
      <w:r w:rsidRPr="005F527F">
        <w:t>Building Simulation Models</w:t>
      </w:r>
    </w:p>
    <w:p w14:paraId="79CC440A" w14:textId="6CA82EE9" w:rsidR="007C7956" w:rsidRDefault="00596C31" w:rsidP="00F2135A">
      <w:r>
        <w:t>The RTF uses building simulation models for estimating energy savings in residential and commercial buildings. Currently, the RTF uses SEEM</w:t>
      </w:r>
      <w:r w:rsidR="007C7956">
        <w:rPr>
          <w:rStyle w:val="FootnoteReference"/>
        </w:rPr>
        <w:footnoteReference w:id="2"/>
      </w:r>
      <w:r>
        <w:t xml:space="preserve"> for modeling residential single family, manufactured home</w:t>
      </w:r>
      <w:r w:rsidR="007B2F47">
        <w:t>s</w:t>
      </w:r>
      <w:r>
        <w:t>, and low-rise multifamily buildings</w:t>
      </w:r>
      <w:r w:rsidR="007C7956">
        <w:t xml:space="preserve"> and uses </w:t>
      </w:r>
      <w:proofErr w:type="spellStart"/>
      <w:r w:rsidR="007C7956">
        <w:t>EnergyPlus</w:t>
      </w:r>
      <w:proofErr w:type="spellEnd"/>
      <w:r w:rsidR="00810DE2">
        <w:rPr>
          <w:rStyle w:val="FootnoteReference"/>
        </w:rPr>
        <w:footnoteReference w:id="3"/>
      </w:r>
      <w:r w:rsidR="007C7956">
        <w:t xml:space="preserve"> to model </w:t>
      </w:r>
      <w:r w:rsidR="007C7956">
        <w:lastRenderedPageBreak/>
        <w:t xml:space="preserve">commercial buildings. Much of the efforts in 2020 through 2024 are focused on ensuring that these models are well calibrated to the region’s building stock. </w:t>
      </w:r>
      <w:r w:rsidR="005F527F">
        <w:t xml:space="preserve">In 2020, the RTF focused on the </w:t>
      </w:r>
      <w:proofErr w:type="spellStart"/>
      <w:r w:rsidR="007C7956">
        <w:t>EnergyPlus</w:t>
      </w:r>
      <w:proofErr w:type="spellEnd"/>
      <w:r w:rsidR="007C7956">
        <w:t xml:space="preserve"> models, leveraging the latest NEEA Commercial Building Stock Assessment. </w:t>
      </w:r>
      <w:r w:rsidR="005F527F">
        <w:t xml:space="preserve">The RTF plans to do more work with these models later in the business plan cycle. </w:t>
      </w:r>
    </w:p>
    <w:p w14:paraId="0BF59ED4" w14:textId="7B809299" w:rsidR="00F2135A" w:rsidRDefault="00E0591F" w:rsidP="00F2135A">
      <w:r>
        <w:t>In 2020, t</w:t>
      </w:r>
      <w:r w:rsidR="007C7956">
        <w:t>he RTF allocated some funding to explo</w:t>
      </w:r>
      <w:r w:rsidR="007B2F47">
        <w:t>re</w:t>
      </w:r>
      <w:r w:rsidR="007C7956">
        <w:t xml:space="preserve"> alternative modeling tools and/or enhancements to existing tools that might improve its assessment of energy efficiency and demand response savings, with a focus on residential opportunities. </w:t>
      </w:r>
      <w:r>
        <w:t xml:space="preserve">This work is anticipated to inform modeling enhancement efforts that are slated to start in 2021 and may continue, if needed, in out years of the plan. </w:t>
      </w:r>
    </w:p>
    <w:p w14:paraId="6F5FF46F" w14:textId="0E1186D9" w:rsidR="007C7956" w:rsidRPr="00F2135A" w:rsidRDefault="007C7956" w:rsidP="00F2135A">
      <w:r>
        <w:t xml:space="preserve">Another component of building simulation is </w:t>
      </w:r>
      <w:r w:rsidR="00003834">
        <w:t>using</w:t>
      </w:r>
      <w:r>
        <w:t xml:space="preserve"> weather files to represent weather sensitive loads. For its 2021 Power Plan, the Council enhance</w:t>
      </w:r>
      <w:r w:rsidR="004C5DD1">
        <w:t>d</w:t>
      </w:r>
      <w:r>
        <w:t xml:space="preserve"> </w:t>
      </w:r>
      <w:r w:rsidR="00003834">
        <w:t>existing</w:t>
      </w:r>
      <w:r>
        <w:t xml:space="preserve"> weather files to better reflect future weather resulting from climate change. The RTF has allocated some funding in 202</w:t>
      </w:r>
      <w:r w:rsidR="004C5DD1">
        <w:t xml:space="preserve">1 to start exploring how to best align the RTF analysis with that long-term picture. This is anticipated to lead to future work of improving the analysis </w:t>
      </w:r>
      <w:r>
        <w:t>of weather dependent measures</w:t>
      </w:r>
      <w:r w:rsidR="004C5DD1">
        <w:t xml:space="preserve"> in</w:t>
      </w:r>
      <w:r>
        <w:t xml:space="preserve"> support </w:t>
      </w:r>
      <w:r w:rsidR="004C5DD1">
        <w:t xml:space="preserve">of </w:t>
      </w:r>
      <w:r>
        <w:t xml:space="preserve">the Council’s ninth </w:t>
      </w:r>
      <w:r w:rsidR="0039483A">
        <w:t>p</w:t>
      </w:r>
      <w:r>
        <w:t xml:space="preserve">ower </w:t>
      </w:r>
      <w:r w:rsidR="0039483A">
        <w:t>p</w:t>
      </w:r>
      <w:r>
        <w:t>lan efforts.</w:t>
      </w:r>
    </w:p>
    <w:p w14:paraId="56CC4968" w14:textId="7268410E" w:rsidR="00276FE8" w:rsidRDefault="00276FE8" w:rsidP="00AC0B33">
      <w:pPr>
        <w:pStyle w:val="Heading2"/>
      </w:pPr>
      <w:r>
        <w:t>Regional Coordination</w:t>
      </w:r>
    </w:p>
    <w:p w14:paraId="569054A8" w14:textId="2D8C1E9D" w:rsidR="003A2FE6" w:rsidRDefault="007913E7" w:rsidP="007913E7">
      <w:r>
        <w:t>The RTF does not have funding for the primary research required to inform its savings analysis</w:t>
      </w:r>
      <w:r w:rsidR="003A2FE6">
        <w:t xml:space="preserve">. Rather, the RTF relies on Bonneville, NEEA, the Energy Trust, the region’s utilities, and others to conduct this primary research. The RTF has allocated approximately </w:t>
      </w:r>
      <w:r w:rsidR="00BA588E">
        <w:t>9</w:t>
      </w:r>
      <w:r w:rsidR="003A2FE6">
        <w:t xml:space="preserve"> percent of its</w:t>
      </w:r>
      <w:r w:rsidR="005F527F">
        <w:t xml:space="preserve"> five-year</w:t>
      </w:r>
      <w:r w:rsidR="003A2FE6">
        <w:t xml:space="preserve"> budget to coordinating with those regional entities to help inform research, identify opportunities to leverage that research for RTF analysis, and connect RTF analysis to regional efforts. As with its tool development efforts, the annual work flow varies to better coordinate with regional efforts, while also providing a balance in the RTF work load when there are fewer measures requiring updates or development.</w:t>
      </w:r>
    </w:p>
    <w:p w14:paraId="2494B77D" w14:textId="621A0366" w:rsidR="007913E7" w:rsidRDefault="003A2FE6" w:rsidP="00414A72">
      <w:pPr>
        <w:pStyle w:val="Heading3"/>
      </w:pPr>
      <w:r w:rsidRPr="005F527F">
        <w:t>Research Coordination</w:t>
      </w:r>
    </w:p>
    <w:p w14:paraId="5B61BE9B" w14:textId="3825AAFD" w:rsidR="00E97279" w:rsidRDefault="00414A72" w:rsidP="003A2FE6">
      <w:r>
        <w:t xml:space="preserve">The RTF’s contract analysts are expected to coordinate with regional entities to help inform regional research. This includes working with specific utilities on defining upcoming research needs that might support </w:t>
      </w:r>
      <w:r w:rsidR="00E97279">
        <w:t>RTF measure development and discussing the outcomes of the research to inform measure analysis. As directed by interested research funders, the contract analysts can support coordination of joint research projects funded by utilities in support of RTF analysis.</w:t>
      </w:r>
    </w:p>
    <w:p w14:paraId="20C672BA" w14:textId="44907866" w:rsidR="00E97279" w:rsidRDefault="00E97279" w:rsidP="00E97279">
      <w:r>
        <w:t>The RTF also allocates a portion of contract analyst time to help inform regional studies, such as the NEEA stock assessments. In preparation for the third Residential Building Stock Assessment, the RTF will allocate resources to providing recommendation</w:t>
      </w:r>
      <w:r w:rsidR="004217C6">
        <w:t>s</w:t>
      </w:r>
      <w:r>
        <w:t xml:space="preserve"> to NEEA on future data needs and research design considerations based on lessons learned to date.</w:t>
      </w:r>
      <w:r w:rsidR="00E0591F">
        <w:t xml:space="preserve"> This includes time for two contract analysts to participate in the working group supporting the scoping of the study.</w:t>
      </w:r>
    </w:p>
    <w:p w14:paraId="7347EE22" w14:textId="42361DB8" w:rsidR="005F527F" w:rsidRDefault="005F527F" w:rsidP="00E97279">
      <w:r>
        <w:t>In 2021, the RTF will apply $25,000 of rollover funds from 2020 to supporting a review of the 2019 Commercial Building Stock Assessment. As the RTF shifts to more commercial measure work, it will need to understand the data in this latest report, what has changed from previous studies, and how best to use the results to inform RTF analysis.</w:t>
      </w:r>
    </w:p>
    <w:p w14:paraId="729494A4" w14:textId="249A0FF6" w:rsidR="003A2FE6" w:rsidRDefault="003A2FE6" w:rsidP="00332E6E">
      <w:pPr>
        <w:pStyle w:val="Heading3"/>
      </w:pPr>
      <w:r w:rsidRPr="005F527F">
        <w:lastRenderedPageBreak/>
        <w:t>Market Analysis Review</w:t>
      </w:r>
    </w:p>
    <w:p w14:paraId="65636D74" w14:textId="311EF623" w:rsidR="00332E6E" w:rsidRDefault="00E97279" w:rsidP="003A2FE6">
      <w:r>
        <w:t xml:space="preserve">The RTF, Council, and efficiency programs rely on market intelligence to inform baselines and program design. Over the last several years, Bonneville and NEEA have dedicated more resources to studying markets. During the 2020 through 2024 business cycle, the RTF will allocate resources to engagement in this research. The goal of this effort is to understand available data, provide recommendations on data analysis, weigh in on uncertainty around market factors, </w:t>
      </w:r>
      <w:r w:rsidR="00332E6E">
        <w:t xml:space="preserve">and support estimation of total market consumption. </w:t>
      </w:r>
    </w:p>
    <w:p w14:paraId="5BB0EBC4" w14:textId="2D93E8E3" w:rsidR="00003834" w:rsidRDefault="00332E6E" w:rsidP="0039483A">
      <w:r>
        <w:t>In addition, a portion of the budget</w:t>
      </w:r>
      <w:r w:rsidR="005F527F">
        <w:t xml:space="preserve"> in 2021</w:t>
      </w:r>
      <w:r>
        <w:t xml:space="preserve"> is allocated to understanding and supporting sub-regional market data analysis, </w:t>
      </w:r>
      <w:r w:rsidR="005F527F">
        <w:t>exploring potential data sources and considerations for use in RTF measure analysis</w:t>
      </w:r>
      <w:r>
        <w:t xml:space="preserve">. </w:t>
      </w:r>
      <w:r w:rsidR="00E0591F">
        <w:t>This is intended to be an initial scoping effort to explore technical options for potentially addressing this need identified by some stakeholders. The RTF and the RTF Advisory Committee will need to consider whether this work continues in future years.</w:t>
      </w:r>
    </w:p>
    <w:p w14:paraId="651B145E" w14:textId="1CAE098B" w:rsidR="003A2FE6" w:rsidRDefault="003A2FE6" w:rsidP="00332E6E">
      <w:pPr>
        <w:pStyle w:val="Heading3"/>
      </w:pPr>
      <w:r w:rsidRPr="00FB4659">
        <w:t>Savings Shape Development</w:t>
      </w:r>
    </w:p>
    <w:p w14:paraId="2FDCB676" w14:textId="7CC37B11" w:rsidR="00332E6E" w:rsidRDefault="00332E6E" w:rsidP="003A2FE6">
      <w:r>
        <w:t>Over the last few years, the region has increased its focus on understanding when energy efficiency measures save energy to inform how energy efficiency can provide capacity benefits. The RTF reviewed its existing load profiles to understand the relative quality of profiles and where better data are needed to improve our understanding of the timing of savings. The region has also launch</w:t>
      </w:r>
      <w:r w:rsidR="004217C6">
        <w:t>ed</w:t>
      </w:r>
      <w:r>
        <w:t xml:space="preserve"> residential and commercial end use metering studies to collect more data on energy use. In this business plan, the RTF has allocated resources to using the results of the end use metering studies (and other data sources as available) to develop end use load profiles and measure savings shapes. The bulk of this work is anticipated to occur in the latter half of the funding cycle, as the data come in and in preparation for the Council’s ninth power plan.</w:t>
      </w:r>
    </w:p>
    <w:p w14:paraId="72553289" w14:textId="6F7CB406" w:rsidR="00FB4659" w:rsidRDefault="00FB4659" w:rsidP="003A2FE6">
      <w:r>
        <w:t>In 2021, the RTF is allocating $</w:t>
      </w:r>
      <w:r w:rsidR="00E0591F">
        <w:t>100</w:t>
      </w:r>
      <w:r>
        <w:t>,000 of carryover funds from previous cycles to accelerating the savings shape work. This would focus on using available end use metering data and building simulation models to develop improved savings shapes for RTF measure analysis</w:t>
      </w:r>
      <w:r w:rsidR="00E0591F">
        <w:t xml:space="preserve"> and addressing other questions around energy consumption that may be informed by the data.</w:t>
      </w:r>
      <w:r>
        <w:t xml:space="preserve"> </w:t>
      </w:r>
    </w:p>
    <w:p w14:paraId="6E436DDD" w14:textId="7917757F" w:rsidR="003A2FE6" w:rsidRDefault="003A2FE6" w:rsidP="00DB2CC4">
      <w:pPr>
        <w:pStyle w:val="Heading3"/>
      </w:pPr>
      <w:r w:rsidRPr="00870D0C">
        <w:t>Council Plan and Other Regional Support</w:t>
      </w:r>
    </w:p>
    <w:p w14:paraId="14039375" w14:textId="62B51EF8" w:rsidR="00332E6E" w:rsidRDefault="00332E6E" w:rsidP="003A2FE6">
      <w:r>
        <w:t xml:space="preserve">Being an advisory committee to the Council, one of the roles of the RTF is to provide technical support and analysis on energy efficiency measures. Most of this work is directly tied to the Council’s power planning efforts. </w:t>
      </w:r>
      <w:r w:rsidR="00DB2CC4">
        <w:t xml:space="preserve">The Council’s 2021 Power Plan is anticipated to be completed in </w:t>
      </w:r>
      <w:r w:rsidR="00870D0C">
        <w:t>mid</w:t>
      </w:r>
      <w:r w:rsidR="00E0591F">
        <w:t>-</w:t>
      </w:r>
      <w:r w:rsidR="00DB2CC4">
        <w:t>2021. To that end, the bulk of the analytical work on energy efficiency will be complete by the start of 2020. The RTF has allocated some time in 2020 to support any additional analytical work required as the Council finishes the development of energy efficiency supply curves. Direct Council planning support then tapers off in 2021 and 2022, ramping up again towards the last two years of the funding cycle as the Council starts preparing for its ninth power plan.</w:t>
      </w:r>
    </w:p>
    <w:p w14:paraId="1BD00E5A" w14:textId="685EB40A" w:rsidR="00276FE8" w:rsidRDefault="00DB2CC4" w:rsidP="00594F56">
      <w:r>
        <w:t>In addition to supporting power planning analysis, the RTF has often been called upon to conduct technical studies on energy efficiency. For the 2020 to 2024 funding cycle, the RTF has allocated funding to support such a study. The anticipated timing is in the middle years of the funding cycle, after completion of the 2021 Power Plan. The specifics of any study are to be defined by the Council and/or other stakeholders.</w:t>
      </w:r>
    </w:p>
    <w:p w14:paraId="17C348DF" w14:textId="142DC39E" w:rsidR="00276FE8" w:rsidRDefault="00276FE8" w:rsidP="00AC0B33">
      <w:pPr>
        <w:pStyle w:val="Heading2"/>
      </w:pPr>
      <w:r w:rsidRPr="00870D0C">
        <w:lastRenderedPageBreak/>
        <w:t>Demand Response</w:t>
      </w:r>
    </w:p>
    <w:p w14:paraId="157481DC" w14:textId="17DA2460" w:rsidR="000B54DD" w:rsidRDefault="000B54DD" w:rsidP="00DB2CC4">
      <w:r>
        <w:t>The RTF has allocated 3 percent of its budget annually to support technical analysis on demand response technologies. The RTF will specifically look at technologies that provide both energy efficiency and demand response opportunities, as a way of leveraging the RTF’s existing knowledge and thinking about these opportunities holistically. The RTF analysis will focus on technical considerations of the technologies, estimating the technical, per unit demand impact potential for technologies, absent any specific product design considerations. The purpose of this work is to be one input, of many, into Council and utility demand response supply curves.</w:t>
      </w:r>
    </w:p>
    <w:p w14:paraId="26B24241" w14:textId="4A4EDC0B" w:rsidR="000B54DD" w:rsidRDefault="000B54DD" w:rsidP="00DB2CC4">
      <w:r>
        <w:t xml:space="preserve">The work in the 2020 to 2024 funding cycle builds upon </w:t>
      </w:r>
      <w:r w:rsidR="007A575B">
        <w:t>the RTF’s scoping effort in 2019. In 2020 and 2021, the focus of the work is on enhancing the RTF’s analytical capabilities, including exploring enhancements to existing building simulation models or alternative modeling approaches. In the middle portion of the funding cycle, the demand response efforts are expected to build on the analysis around end use profiles, to help inform current timing of end use loads for the technologies of interest. The final two years of the funding cycle will focus on updates to the RTF’s 2019 analysis, leveraging the</w:t>
      </w:r>
      <w:r w:rsidR="00003834">
        <w:t>se</w:t>
      </w:r>
      <w:r w:rsidR="007A575B">
        <w:t xml:space="preserve"> new analytical tools and profiles.</w:t>
      </w:r>
    </w:p>
    <w:p w14:paraId="74CE8FD6" w14:textId="5C2B6699" w:rsidR="007A575B" w:rsidRDefault="007A575B" w:rsidP="007A575B">
      <w:pPr>
        <w:pStyle w:val="Heading2"/>
      </w:pPr>
      <w:r>
        <w:t>RTF Management</w:t>
      </w:r>
    </w:p>
    <w:p w14:paraId="13B89DB2" w14:textId="5B8C1804" w:rsidR="007A575B" w:rsidRDefault="007A575B" w:rsidP="007A575B">
      <w:r>
        <w:t xml:space="preserve">The final </w:t>
      </w:r>
      <w:r w:rsidR="00DD3D36">
        <w:t xml:space="preserve">28 </w:t>
      </w:r>
      <w:r>
        <w:t>percent of the budget is allocated to management of the RTF, including support for RTF meetings and the RTF Manager.</w:t>
      </w:r>
      <w:r w:rsidR="00DD3D36">
        <w:t xml:space="preserve"> This also includes management of the Council’s Regional Conservation Progress survey.</w:t>
      </w:r>
    </w:p>
    <w:p w14:paraId="3DF28EFE" w14:textId="77777777" w:rsidR="00DD3D36" w:rsidRDefault="00DD3D36" w:rsidP="00DD3D36">
      <w:pPr>
        <w:pStyle w:val="Heading3"/>
      </w:pPr>
      <w:r>
        <w:t>Regional Conservation Progress Report</w:t>
      </w:r>
    </w:p>
    <w:p w14:paraId="058E44D0" w14:textId="4FF95E06" w:rsidR="00DD3D36" w:rsidRDefault="00DD3D36" w:rsidP="007A575B">
      <w:r>
        <w:t>Per its charter, one of the roles of the RTF is to track the region’s progress against the Council’s power plan targets for energy efficiency. This is done through the annual Regional Conservation Progress (RCP) survey and report. Every year, the RTF collects data from Bonneville, Energy Trust, NEEA, and the region’s utilities on the energy efficiency savings and expenditures from the previous year. The 2020 to 2024 funding cycle allocates $50,000 annually, plus inflation, to contract out the data collection and analysis. This budget assumes that the RTF Manager, in coordination with the RTF Assistant and other Council staff, will be responsible for compiling the results into a final report for the Council.</w:t>
      </w:r>
    </w:p>
    <w:p w14:paraId="12120478" w14:textId="77777777" w:rsidR="007A575B" w:rsidRDefault="007A575B" w:rsidP="00570224">
      <w:pPr>
        <w:pStyle w:val="Heading3"/>
      </w:pPr>
      <w:r>
        <w:t>Meeting and Member Support</w:t>
      </w:r>
    </w:p>
    <w:p w14:paraId="681E26C3" w14:textId="098060B3" w:rsidR="00A12448" w:rsidRDefault="007A575B" w:rsidP="007A575B">
      <w:r>
        <w:t>The RTF meets approximately monthly for a one-day meet</w:t>
      </w:r>
      <w:r w:rsidR="00C32BA0">
        <w:t>ing</w:t>
      </w:r>
      <w:r>
        <w:t xml:space="preserve"> at the Council offices. </w:t>
      </w:r>
      <w:r w:rsidR="00570224">
        <w:t>It is at these meetings where the formative work of the RTF occurs. Given the importance of these meetings, the RTF allocates approximately 15 percent of its budget to supporting this function. The most significant portion of this budget is ensuring that all the members and contract analysts are able to attend and participate in the monthly meetings in person. As noted above, the RTF members serve in a voluntary capacity. To ensure that all members can attend the meeting in person, the RTF supports travel costs and participation for some of the members. Additionally, several of the contract analysts have traditionally lived outside of Portland. Part of contract costs for these analysts includes the travel and time for attending the RTF meetings.</w:t>
      </w:r>
    </w:p>
    <w:p w14:paraId="1FE2B01F" w14:textId="4F7CF130" w:rsidR="00570224" w:rsidRDefault="00570224" w:rsidP="007A575B">
      <w:r>
        <w:t xml:space="preserve">The RTF also allocates a small portion of the budget to contract out for meeting minute services, as well as phone lines and web conferencing. Each of these components is important </w:t>
      </w:r>
      <w:r>
        <w:lastRenderedPageBreak/>
        <w:t>to ensuring that the RTF meetings are publicly available, including to those that are unable to travel or attend a specific meeting.</w:t>
      </w:r>
    </w:p>
    <w:p w14:paraId="073DA026" w14:textId="2EE3D8A4" w:rsidR="00870D0C" w:rsidRPr="007A575B" w:rsidRDefault="00870D0C" w:rsidP="007A575B">
      <w:r>
        <w:t xml:space="preserve">The 2021 budget assumes </w:t>
      </w:r>
      <w:r w:rsidR="00AD69A5">
        <w:t>a mix of virtual and in person</w:t>
      </w:r>
      <w:r>
        <w:t xml:space="preserve"> RTF meetings. Actual meeting format will be reevaluated closer to 2021 and throughout the year</w:t>
      </w:r>
      <w:r w:rsidR="00AD69A5">
        <w:t xml:space="preserve">, and any unspent funds in this category will be allocated to other work where feasible. </w:t>
      </w:r>
      <w:bookmarkStart w:id="3" w:name="_GoBack"/>
      <w:bookmarkEnd w:id="3"/>
    </w:p>
    <w:p w14:paraId="7AAFA81A" w14:textId="230C1953" w:rsidR="00276FE8" w:rsidRDefault="00276FE8" w:rsidP="00570224">
      <w:pPr>
        <w:pStyle w:val="Heading3"/>
      </w:pPr>
      <w:r>
        <w:t>Management and Administration</w:t>
      </w:r>
    </w:p>
    <w:p w14:paraId="06FD39FF" w14:textId="35F19D1D" w:rsidR="00A450A5" w:rsidRDefault="00570224" w:rsidP="00A450A5">
      <w:pPr>
        <w:rPr>
          <w:rFonts w:ascii="Georgia" w:hAnsi="Georgia"/>
        </w:rPr>
      </w:pPr>
      <w:r>
        <w:t xml:space="preserve">The final 10 percent of the RTF annual budget goes to support RTF management and administration. This is primarily the support of the RTF Manager, who provides the day to day management of the RTF. </w:t>
      </w:r>
    </w:p>
    <w:p w14:paraId="3BA6A52F" w14:textId="77777777" w:rsidR="00A450A5" w:rsidRDefault="00A450A5" w:rsidP="00A450A5">
      <w:pPr>
        <w:rPr>
          <w:rFonts w:ascii="Georgia" w:hAnsi="Georgia"/>
        </w:rPr>
      </w:pPr>
    </w:p>
    <w:p w14:paraId="031BC2BC" w14:textId="77777777" w:rsidR="00CC5B2F" w:rsidRPr="00A450A5" w:rsidRDefault="00A450A5" w:rsidP="00A450A5">
      <w:pPr>
        <w:tabs>
          <w:tab w:val="left" w:pos="7320"/>
        </w:tabs>
        <w:rPr>
          <w:rFonts w:ascii="Georgia" w:hAnsi="Georgia"/>
        </w:rPr>
      </w:pPr>
      <w:r>
        <w:rPr>
          <w:rFonts w:ascii="Georgia" w:hAnsi="Georgia"/>
        </w:rPr>
        <w:tab/>
      </w:r>
    </w:p>
    <w:sectPr w:rsidR="00CC5B2F" w:rsidRPr="00A450A5" w:rsidSect="00A450A5">
      <w:headerReference w:type="default" r:id="rId9"/>
      <w:footerReference w:type="default" r:id="rId10"/>
      <w:pgSz w:w="12240" w:h="15840"/>
      <w:pgMar w:top="1440" w:right="1440" w:bottom="1440" w:left="1440" w:header="720"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AE9AF" w14:textId="77777777" w:rsidR="00AD57E1" w:rsidRDefault="00AD57E1" w:rsidP="00B75EDA">
      <w:pPr>
        <w:spacing w:after="0" w:line="240" w:lineRule="auto"/>
      </w:pPr>
      <w:r>
        <w:separator/>
      </w:r>
    </w:p>
  </w:endnote>
  <w:endnote w:type="continuationSeparator" w:id="0">
    <w:p w14:paraId="140FDE16" w14:textId="77777777" w:rsidR="00AD57E1" w:rsidRDefault="00AD57E1" w:rsidP="00B7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203F0" w14:textId="77777777" w:rsidR="001E79E6" w:rsidRDefault="00A450A5" w:rsidP="001E79E6">
    <w:pPr>
      <w:pStyle w:val="Footer"/>
      <w:tabs>
        <w:tab w:val="clear" w:pos="4680"/>
        <w:tab w:val="clear" w:pos="9360"/>
        <w:tab w:val="left" w:pos="5520"/>
      </w:tabs>
    </w:pPr>
    <w:r>
      <w:rPr>
        <w:noProof/>
      </w:rPr>
      <w:drawing>
        <wp:anchor distT="0" distB="0" distL="114300" distR="114300" simplePos="0" relativeHeight="251657216" behindDoc="0" locked="0" layoutInCell="1" allowOverlap="1" wp14:anchorId="13226042" wp14:editId="28D3720F">
          <wp:simplePos x="0" y="0"/>
          <wp:positionH relativeFrom="margin">
            <wp:align>right</wp:align>
          </wp:positionH>
          <wp:positionV relativeFrom="paragraph">
            <wp:posOffset>-186055</wp:posOffset>
          </wp:positionV>
          <wp:extent cx="492125" cy="408940"/>
          <wp:effectExtent l="0" t="0" r="3175" b="0"/>
          <wp:wrapNone/>
          <wp:docPr id="34" name="Picture 34" descr="C:\Users\herndon\Desktop\Asse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rndon\Desktop\Asset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2125" cy="408940"/>
                  </a:xfrm>
                  <a:prstGeom prst="rect">
                    <a:avLst/>
                  </a:prstGeom>
                  <a:noFill/>
                  <a:ln>
                    <a:noFill/>
                  </a:ln>
                </pic:spPr>
              </pic:pic>
            </a:graphicData>
          </a:graphic>
        </wp:anchor>
      </w:drawing>
    </w:r>
    <w:sdt>
      <w:sdtPr>
        <w:id w:val="-330449423"/>
        <w:docPartObj>
          <w:docPartGallery w:val="Page Numbers (Bottom of Page)"/>
          <w:docPartUnique/>
        </w:docPartObj>
      </w:sdtPr>
      <w:sdtEndPr>
        <w:rPr>
          <w:noProof/>
        </w:rPr>
      </w:sdtEndPr>
      <w:sdtContent>
        <w:r w:rsidR="001E79E6">
          <w:fldChar w:fldCharType="begin"/>
        </w:r>
        <w:r w:rsidR="001E79E6">
          <w:instrText xml:space="preserve"> PAGE   \* MERGEFORMAT </w:instrText>
        </w:r>
        <w:r w:rsidR="001E79E6">
          <w:fldChar w:fldCharType="separate"/>
        </w:r>
        <w:r w:rsidR="0000004C">
          <w:rPr>
            <w:noProof/>
          </w:rPr>
          <w:t>2</w:t>
        </w:r>
        <w:r w:rsidR="001E79E6">
          <w:rPr>
            <w:noProof/>
          </w:rPr>
          <w:fldChar w:fldCharType="end"/>
        </w:r>
      </w:sdtContent>
    </w:sdt>
    <w:r w:rsidR="001E79E6">
      <w:rPr>
        <w:noProof/>
      </w:rPr>
      <w:tab/>
    </w:r>
  </w:p>
  <w:p w14:paraId="64BDFB6E" w14:textId="77777777" w:rsidR="006F31D0" w:rsidRDefault="006F3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8D019" w14:textId="77777777" w:rsidR="00AD57E1" w:rsidRDefault="00AD57E1" w:rsidP="00B75EDA">
      <w:pPr>
        <w:spacing w:after="0" w:line="240" w:lineRule="auto"/>
      </w:pPr>
      <w:r>
        <w:separator/>
      </w:r>
    </w:p>
  </w:footnote>
  <w:footnote w:type="continuationSeparator" w:id="0">
    <w:p w14:paraId="0091081C" w14:textId="77777777" w:rsidR="00AD57E1" w:rsidRDefault="00AD57E1" w:rsidP="00B75EDA">
      <w:pPr>
        <w:spacing w:after="0" w:line="240" w:lineRule="auto"/>
      </w:pPr>
      <w:r>
        <w:continuationSeparator/>
      </w:r>
    </w:p>
  </w:footnote>
  <w:footnote w:id="1">
    <w:p w14:paraId="6E4A4894" w14:textId="332BE253" w:rsidR="005578E2" w:rsidRPr="00E0591F" w:rsidRDefault="005578E2">
      <w:pPr>
        <w:pStyle w:val="FootnoteText"/>
        <w:rPr>
          <w:sz w:val="18"/>
          <w:szCs w:val="18"/>
        </w:rPr>
      </w:pPr>
      <w:r w:rsidRPr="00E0591F">
        <w:rPr>
          <w:rStyle w:val="FootnoteReference"/>
          <w:sz w:val="18"/>
          <w:szCs w:val="18"/>
        </w:rPr>
        <w:footnoteRef/>
      </w:r>
      <w:r w:rsidRPr="00E0591F">
        <w:rPr>
          <w:sz w:val="18"/>
          <w:szCs w:val="18"/>
        </w:rPr>
        <w:t xml:space="preserve"> As of </w:t>
      </w:r>
      <w:r w:rsidR="00C90356" w:rsidRPr="00E0591F">
        <w:rPr>
          <w:sz w:val="18"/>
          <w:szCs w:val="18"/>
        </w:rPr>
        <w:t>August 31</w:t>
      </w:r>
      <w:r w:rsidRPr="00E0591F">
        <w:rPr>
          <w:sz w:val="18"/>
          <w:szCs w:val="18"/>
        </w:rPr>
        <w:t>, staff estimates up to $</w:t>
      </w:r>
      <w:r w:rsidR="00C90356" w:rsidRPr="00E0591F">
        <w:rPr>
          <w:sz w:val="18"/>
          <w:szCs w:val="18"/>
        </w:rPr>
        <w:t>89,000</w:t>
      </w:r>
      <w:r w:rsidRPr="00E0591F">
        <w:rPr>
          <w:sz w:val="18"/>
          <w:szCs w:val="18"/>
        </w:rPr>
        <w:t xml:space="preserve"> in total unspent/unallocated funds from 2020. The 2021 work plan assumes use of only a portion of those funds. Should the RTF spend more in 2020 than anticipated, the RTF will adjust the 2021 budget and work plan to scale down the activities anticipated for these funds to meet the total rollover amount.</w:t>
      </w:r>
    </w:p>
  </w:footnote>
  <w:footnote w:id="2">
    <w:p w14:paraId="502A74D3" w14:textId="7C343155" w:rsidR="007C7956" w:rsidRDefault="007C7956" w:rsidP="00810DE2">
      <w:pPr>
        <w:pStyle w:val="Footnote"/>
      </w:pPr>
      <w:r>
        <w:rPr>
          <w:rStyle w:val="FootnoteReference"/>
        </w:rPr>
        <w:footnoteRef/>
      </w:r>
      <w:r>
        <w:t xml:space="preserve"> The Simplified Energy Enthalpy Model (SEEM) is developed and </w:t>
      </w:r>
      <w:r w:rsidR="007B2F47">
        <w:t>maintained</w:t>
      </w:r>
      <w:r>
        <w:t xml:space="preserve"> by </w:t>
      </w:r>
      <w:proofErr w:type="spellStart"/>
      <w:r>
        <w:t>Ecotope</w:t>
      </w:r>
      <w:proofErr w:type="spellEnd"/>
      <w:r>
        <w:t>. More information, and the latest version of SEEM, can be found on the RTF’s website</w:t>
      </w:r>
      <w:r w:rsidR="00810DE2">
        <w:t xml:space="preserve">: </w:t>
      </w:r>
      <w:hyperlink r:id="rId1" w:history="1">
        <w:r w:rsidR="00810DE2">
          <w:rPr>
            <w:rStyle w:val="Hyperlink"/>
          </w:rPr>
          <w:t>https://rtf.nwcouncil.org/simplified-energy-enthalpy-model-seem</w:t>
        </w:r>
      </w:hyperlink>
      <w:r w:rsidR="00810DE2">
        <w:t>.</w:t>
      </w:r>
    </w:p>
  </w:footnote>
  <w:footnote w:id="3">
    <w:p w14:paraId="345FB06F" w14:textId="416C3AC1" w:rsidR="00810DE2" w:rsidRDefault="00810DE2" w:rsidP="00810DE2">
      <w:pPr>
        <w:pStyle w:val="Footnote"/>
      </w:pPr>
      <w:r>
        <w:rPr>
          <w:rStyle w:val="FootnoteReference"/>
        </w:rPr>
        <w:footnoteRef/>
      </w:r>
      <w:r>
        <w:t xml:space="preserve"> </w:t>
      </w:r>
      <w:proofErr w:type="spellStart"/>
      <w:r>
        <w:t>EnergyPlus</w:t>
      </w:r>
      <w:proofErr w:type="spellEnd"/>
      <w:r>
        <w:t xml:space="preserve"> is a whole building energy simulation program developed by the Department of Energy. The RTF uses and adapts the building prototype models to better reflect buildings in the Pacific Northwest, based on regional data from NEEA’s Commercial Building Stock Assessment.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F532" w14:textId="5981CC87" w:rsidR="00CD59D2" w:rsidRDefault="00AD69A5" w:rsidP="00CD59D2">
    <w:pPr>
      <w:pStyle w:val="Header"/>
      <w:tabs>
        <w:tab w:val="clear" w:pos="4680"/>
        <w:tab w:val="clear" w:pos="9360"/>
        <w:tab w:val="left" w:pos="7695"/>
      </w:tabs>
      <w:jc w:val="right"/>
    </w:pPr>
    <w:sdt>
      <w:sdtPr>
        <w:alias w:val="Title"/>
        <w:tag w:val=""/>
        <w:id w:val="-969435427"/>
        <w:dataBinding w:prefixMappings="xmlns:ns0='http://purl.org/dc/elements/1.1/' xmlns:ns1='http://schemas.openxmlformats.org/package/2006/metadata/core-properties' " w:xpath="/ns1:coreProperties[1]/ns0:title[1]" w:storeItemID="{6C3C8BC8-F283-45AE-878A-BAB7291924A1}"/>
        <w:text/>
      </w:sdtPr>
      <w:sdtEndPr/>
      <w:sdtContent>
        <w:r w:rsidR="00AD57E1">
          <w:t>2020</w:t>
        </w:r>
        <w:r w:rsidR="005F536E">
          <w:t>-2024</w:t>
        </w:r>
        <w:r w:rsidR="00AD57E1">
          <w:t xml:space="preserve"> Business Plan</w:t>
        </w:r>
        <w:r w:rsidR="00345BB9">
          <w:t xml:space="preserve"> – 2021 Work Plan Update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8E3"/>
    <w:multiLevelType w:val="hybridMultilevel"/>
    <w:tmpl w:val="EBAC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D32F6"/>
    <w:multiLevelType w:val="hybridMultilevel"/>
    <w:tmpl w:val="9B2C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52F05"/>
    <w:multiLevelType w:val="hybridMultilevel"/>
    <w:tmpl w:val="29B0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43BBA"/>
    <w:multiLevelType w:val="hybridMultilevel"/>
    <w:tmpl w:val="0CE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03C3B"/>
    <w:multiLevelType w:val="hybridMultilevel"/>
    <w:tmpl w:val="FCF60DCC"/>
    <w:lvl w:ilvl="0" w:tplc="4DFE5D5C">
      <w:start w:val="2020"/>
      <w:numFmt w:val="bullet"/>
      <w:lvlText w:val="-"/>
      <w:lvlJc w:val="left"/>
      <w:pPr>
        <w:ind w:left="720" w:hanging="360"/>
      </w:pPr>
      <w:rPr>
        <w:rFonts w:ascii="Helvetica" w:eastAsiaTheme="minorHAnsi"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B32C8"/>
    <w:multiLevelType w:val="hybridMultilevel"/>
    <w:tmpl w:val="A9CE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B5F3B"/>
    <w:multiLevelType w:val="hybridMultilevel"/>
    <w:tmpl w:val="FC561584"/>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CD0491B"/>
    <w:multiLevelType w:val="hybridMultilevel"/>
    <w:tmpl w:val="A864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D0C13"/>
    <w:multiLevelType w:val="hybridMultilevel"/>
    <w:tmpl w:val="C818DB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423D5BFE"/>
    <w:multiLevelType w:val="hybridMultilevel"/>
    <w:tmpl w:val="D324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724B5"/>
    <w:multiLevelType w:val="hybridMultilevel"/>
    <w:tmpl w:val="EB187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212AB"/>
    <w:multiLevelType w:val="hybridMultilevel"/>
    <w:tmpl w:val="A20C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912563"/>
    <w:multiLevelType w:val="hybridMultilevel"/>
    <w:tmpl w:val="11C2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F3519D"/>
    <w:multiLevelType w:val="hybridMultilevel"/>
    <w:tmpl w:val="0C6023C2"/>
    <w:lvl w:ilvl="0" w:tplc="023401C4">
      <w:start w:val="1"/>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13"/>
  </w:num>
  <w:num w:numId="6">
    <w:abstractNumId w:val="10"/>
  </w:num>
  <w:num w:numId="7">
    <w:abstractNumId w:val="12"/>
  </w:num>
  <w:num w:numId="8">
    <w:abstractNumId w:val="11"/>
  </w:num>
  <w:num w:numId="9">
    <w:abstractNumId w:val="9"/>
  </w:num>
  <w:num w:numId="10">
    <w:abstractNumId w:val="7"/>
  </w:num>
  <w:num w:numId="11">
    <w:abstractNumId w:val="8"/>
  </w:num>
  <w:num w:numId="12">
    <w:abstractNumId w:val="5"/>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E1"/>
    <w:rsid w:val="0000004C"/>
    <w:rsid w:val="00003834"/>
    <w:rsid w:val="00015586"/>
    <w:rsid w:val="00021E0E"/>
    <w:rsid w:val="00044BF0"/>
    <w:rsid w:val="000B54DD"/>
    <w:rsid w:val="000C1FBA"/>
    <w:rsid w:val="0010166C"/>
    <w:rsid w:val="0016776C"/>
    <w:rsid w:val="001C06FA"/>
    <w:rsid w:val="001C2E09"/>
    <w:rsid w:val="001C496A"/>
    <w:rsid w:val="001D2847"/>
    <w:rsid w:val="001E79E6"/>
    <w:rsid w:val="001F70D3"/>
    <w:rsid w:val="0021726B"/>
    <w:rsid w:val="00224C32"/>
    <w:rsid w:val="002255B3"/>
    <w:rsid w:val="002327E1"/>
    <w:rsid w:val="002341F7"/>
    <w:rsid w:val="00243664"/>
    <w:rsid w:val="00252F5A"/>
    <w:rsid w:val="00276FE8"/>
    <w:rsid w:val="00283576"/>
    <w:rsid w:val="002A3719"/>
    <w:rsid w:val="002C16E5"/>
    <w:rsid w:val="002D6553"/>
    <w:rsid w:val="002E5568"/>
    <w:rsid w:val="00332E6E"/>
    <w:rsid w:val="00341679"/>
    <w:rsid w:val="00345BB9"/>
    <w:rsid w:val="003522AE"/>
    <w:rsid w:val="003752FD"/>
    <w:rsid w:val="0039483A"/>
    <w:rsid w:val="00394D53"/>
    <w:rsid w:val="003A2FE6"/>
    <w:rsid w:val="003A3771"/>
    <w:rsid w:val="003B17C3"/>
    <w:rsid w:val="003D5E0F"/>
    <w:rsid w:val="003F23EA"/>
    <w:rsid w:val="00414A72"/>
    <w:rsid w:val="00420783"/>
    <w:rsid w:val="004217C6"/>
    <w:rsid w:val="00466DA0"/>
    <w:rsid w:val="00470B0B"/>
    <w:rsid w:val="004C5DD1"/>
    <w:rsid w:val="004F3266"/>
    <w:rsid w:val="00502929"/>
    <w:rsid w:val="0052193B"/>
    <w:rsid w:val="005263DE"/>
    <w:rsid w:val="00546EAA"/>
    <w:rsid w:val="005515A9"/>
    <w:rsid w:val="00555863"/>
    <w:rsid w:val="005578E2"/>
    <w:rsid w:val="00570224"/>
    <w:rsid w:val="0057059C"/>
    <w:rsid w:val="0057747A"/>
    <w:rsid w:val="00594F56"/>
    <w:rsid w:val="00596C31"/>
    <w:rsid w:val="005B4352"/>
    <w:rsid w:val="005B68DD"/>
    <w:rsid w:val="005B7953"/>
    <w:rsid w:val="005F527F"/>
    <w:rsid w:val="005F536E"/>
    <w:rsid w:val="00603814"/>
    <w:rsid w:val="006432B1"/>
    <w:rsid w:val="00663612"/>
    <w:rsid w:val="00686A75"/>
    <w:rsid w:val="00691795"/>
    <w:rsid w:val="006C01E4"/>
    <w:rsid w:val="006F31D0"/>
    <w:rsid w:val="006F77DF"/>
    <w:rsid w:val="007165B9"/>
    <w:rsid w:val="007215FC"/>
    <w:rsid w:val="007913E7"/>
    <w:rsid w:val="00794EE9"/>
    <w:rsid w:val="007A575B"/>
    <w:rsid w:val="007B2F47"/>
    <w:rsid w:val="007C021F"/>
    <w:rsid w:val="007C7956"/>
    <w:rsid w:val="007E673E"/>
    <w:rsid w:val="007F77B0"/>
    <w:rsid w:val="00810DE2"/>
    <w:rsid w:val="00846D74"/>
    <w:rsid w:val="00847E02"/>
    <w:rsid w:val="008513C1"/>
    <w:rsid w:val="00855922"/>
    <w:rsid w:val="00870D0C"/>
    <w:rsid w:val="008F49EE"/>
    <w:rsid w:val="00925A88"/>
    <w:rsid w:val="009359C1"/>
    <w:rsid w:val="00A023A3"/>
    <w:rsid w:val="00A12448"/>
    <w:rsid w:val="00A450A5"/>
    <w:rsid w:val="00A6531C"/>
    <w:rsid w:val="00A9780D"/>
    <w:rsid w:val="00AC0B33"/>
    <w:rsid w:val="00AC4060"/>
    <w:rsid w:val="00AD57E1"/>
    <w:rsid w:val="00AD69A5"/>
    <w:rsid w:val="00AF1558"/>
    <w:rsid w:val="00B0071E"/>
    <w:rsid w:val="00B26198"/>
    <w:rsid w:val="00B75EDA"/>
    <w:rsid w:val="00BA3B08"/>
    <w:rsid w:val="00BA588E"/>
    <w:rsid w:val="00BD266C"/>
    <w:rsid w:val="00C12FD2"/>
    <w:rsid w:val="00C32BA0"/>
    <w:rsid w:val="00C54144"/>
    <w:rsid w:val="00C775DE"/>
    <w:rsid w:val="00C819AF"/>
    <w:rsid w:val="00C90356"/>
    <w:rsid w:val="00CC031B"/>
    <w:rsid w:val="00CC5B2F"/>
    <w:rsid w:val="00CD3AD5"/>
    <w:rsid w:val="00CD59D2"/>
    <w:rsid w:val="00D0546D"/>
    <w:rsid w:val="00D17FDC"/>
    <w:rsid w:val="00D477C6"/>
    <w:rsid w:val="00D53287"/>
    <w:rsid w:val="00D723A1"/>
    <w:rsid w:val="00D835E0"/>
    <w:rsid w:val="00D842A9"/>
    <w:rsid w:val="00DB2CC4"/>
    <w:rsid w:val="00DB7180"/>
    <w:rsid w:val="00DD3D36"/>
    <w:rsid w:val="00DD7B48"/>
    <w:rsid w:val="00DE7675"/>
    <w:rsid w:val="00E015D7"/>
    <w:rsid w:val="00E0591F"/>
    <w:rsid w:val="00E34C7F"/>
    <w:rsid w:val="00E55CB7"/>
    <w:rsid w:val="00E9121D"/>
    <w:rsid w:val="00E97279"/>
    <w:rsid w:val="00EB6868"/>
    <w:rsid w:val="00EC664D"/>
    <w:rsid w:val="00EE03CC"/>
    <w:rsid w:val="00EE5BF2"/>
    <w:rsid w:val="00F1394E"/>
    <w:rsid w:val="00F2135A"/>
    <w:rsid w:val="00F2316B"/>
    <w:rsid w:val="00F76E02"/>
    <w:rsid w:val="00FA4D44"/>
    <w:rsid w:val="00FB4659"/>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48B0D8"/>
  <w15:chartTrackingRefBased/>
  <w15:docId w15:val="{CF646822-FF82-4B2F-A8CC-4388ACBA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EDA"/>
    <w:rPr>
      <w:rFonts w:ascii="Helvetica" w:hAnsi="Helvetica" w:cs="Helvetica"/>
      <w:sz w:val="22"/>
      <w:szCs w:val="22"/>
    </w:rPr>
  </w:style>
  <w:style w:type="paragraph" w:styleId="Heading1">
    <w:name w:val="heading 1"/>
    <w:basedOn w:val="Normal"/>
    <w:next w:val="Normal"/>
    <w:link w:val="Heading1Char"/>
    <w:uiPriority w:val="9"/>
    <w:qFormat/>
    <w:rsid w:val="00AD57E1"/>
    <w:pPr>
      <w:keepNext/>
      <w:keepLines/>
      <w:spacing w:before="240"/>
      <w:outlineLvl w:val="0"/>
    </w:pPr>
    <w:rPr>
      <w:rFonts w:ascii="Georgia" w:eastAsiaTheme="majorEastAsia" w:hAnsi="Georgia" w:cstheme="majorBidi"/>
      <w:b/>
      <w:color w:val="213E44"/>
      <w:sz w:val="36"/>
      <w:szCs w:val="32"/>
    </w:rPr>
  </w:style>
  <w:style w:type="paragraph" w:styleId="Heading2">
    <w:name w:val="heading 2"/>
    <w:basedOn w:val="Normal"/>
    <w:next w:val="Normal"/>
    <w:link w:val="Heading2Char"/>
    <w:uiPriority w:val="9"/>
    <w:unhideWhenUsed/>
    <w:qFormat/>
    <w:rsid w:val="00AD57E1"/>
    <w:pPr>
      <w:keepNext/>
      <w:keepLines/>
      <w:spacing w:before="40"/>
      <w:outlineLvl w:val="1"/>
    </w:pPr>
    <w:rPr>
      <w:rFonts w:ascii="Georgia" w:eastAsiaTheme="majorEastAsia" w:hAnsi="Georgia" w:cstheme="majorBidi"/>
      <w:color w:val="336E7E"/>
      <w:sz w:val="32"/>
      <w:szCs w:val="26"/>
    </w:rPr>
  </w:style>
  <w:style w:type="paragraph" w:styleId="Heading3">
    <w:name w:val="heading 3"/>
    <w:basedOn w:val="Normal"/>
    <w:next w:val="Normal"/>
    <w:link w:val="Heading3Char"/>
    <w:uiPriority w:val="9"/>
    <w:unhideWhenUsed/>
    <w:qFormat/>
    <w:rsid w:val="00AD57E1"/>
    <w:pPr>
      <w:outlineLvl w:val="2"/>
    </w:pPr>
    <w:rPr>
      <w:rFonts w:ascii="Georgia" w:hAnsi="Georgia"/>
      <w:color w:val="EB7D5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7E1"/>
    <w:rPr>
      <w:rFonts w:ascii="Georgia" w:eastAsiaTheme="majorEastAsia" w:hAnsi="Georgia" w:cstheme="majorBidi"/>
      <w:b/>
      <w:color w:val="213E44"/>
      <w:sz w:val="36"/>
      <w:szCs w:val="32"/>
    </w:rPr>
  </w:style>
  <w:style w:type="paragraph" w:styleId="Title">
    <w:name w:val="Title"/>
    <w:basedOn w:val="Heading1"/>
    <w:next w:val="Normal"/>
    <w:link w:val="TitleChar"/>
    <w:uiPriority w:val="10"/>
    <w:qFormat/>
    <w:rsid w:val="00AD57E1"/>
    <w:pPr>
      <w:pBdr>
        <w:top w:val="single" w:sz="18" w:space="1" w:color="EB7D5F"/>
        <w:bottom w:val="single" w:sz="18" w:space="1" w:color="EB7D5F"/>
      </w:pBdr>
      <w:jc w:val="center"/>
    </w:pPr>
    <w:rPr>
      <w:b w:val="0"/>
      <w:sz w:val="44"/>
    </w:rPr>
  </w:style>
  <w:style w:type="character" w:customStyle="1" w:styleId="TitleChar">
    <w:name w:val="Title Char"/>
    <w:basedOn w:val="DefaultParagraphFont"/>
    <w:link w:val="Title"/>
    <w:uiPriority w:val="10"/>
    <w:rsid w:val="00AD57E1"/>
    <w:rPr>
      <w:rFonts w:ascii="Georgia" w:eastAsiaTheme="majorEastAsia" w:hAnsi="Georgia" w:cstheme="majorBidi"/>
      <w:color w:val="213E44"/>
      <w:sz w:val="44"/>
      <w:szCs w:val="32"/>
    </w:rPr>
  </w:style>
  <w:style w:type="character" w:customStyle="1" w:styleId="Heading2Char">
    <w:name w:val="Heading 2 Char"/>
    <w:basedOn w:val="DefaultParagraphFont"/>
    <w:link w:val="Heading2"/>
    <w:uiPriority w:val="9"/>
    <w:rsid w:val="00AD57E1"/>
    <w:rPr>
      <w:rFonts w:ascii="Georgia" w:eastAsiaTheme="majorEastAsia" w:hAnsi="Georgia" w:cstheme="majorBidi"/>
      <w:color w:val="336E7E"/>
      <w:sz w:val="32"/>
      <w:szCs w:val="26"/>
    </w:rPr>
  </w:style>
  <w:style w:type="paragraph" w:styleId="NoSpacing">
    <w:name w:val="No Spacing"/>
    <w:uiPriority w:val="1"/>
    <w:qFormat/>
    <w:rsid w:val="00B75EDA"/>
  </w:style>
  <w:style w:type="paragraph" w:styleId="Subtitle">
    <w:name w:val="Subtitle"/>
    <w:basedOn w:val="Normal"/>
    <w:next w:val="Normal"/>
    <w:link w:val="SubtitleChar"/>
    <w:uiPriority w:val="11"/>
    <w:qFormat/>
    <w:rsid w:val="00AD57E1"/>
    <w:pPr>
      <w:numPr>
        <w:ilvl w:val="1"/>
      </w:numPr>
      <w:jc w:val="center"/>
    </w:pPr>
    <w:rPr>
      <w:rFonts w:eastAsiaTheme="minorEastAsia" w:cstheme="minorBidi"/>
      <w:b/>
      <w:color w:val="336E7E"/>
      <w:spacing w:val="15"/>
      <w:sz w:val="24"/>
    </w:rPr>
  </w:style>
  <w:style w:type="character" w:customStyle="1" w:styleId="SubtitleChar">
    <w:name w:val="Subtitle Char"/>
    <w:basedOn w:val="DefaultParagraphFont"/>
    <w:link w:val="Subtitle"/>
    <w:uiPriority w:val="11"/>
    <w:rsid w:val="00AD57E1"/>
    <w:rPr>
      <w:rFonts w:ascii="Helvetica" w:eastAsiaTheme="minorEastAsia" w:hAnsi="Helvetica" w:cstheme="minorBidi"/>
      <w:b/>
      <w:color w:val="336E7E"/>
      <w:spacing w:val="15"/>
      <w:szCs w:val="22"/>
    </w:rPr>
  </w:style>
  <w:style w:type="paragraph" w:styleId="Header">
    <w:name w:val="header"/>
    <w:basedOn w:val="Normal"/>
    <w:link w:val="HeaderChar"/>
    <w:uiPriority w:val="99"/>
    <w:unhideWhenUsed/>
    <w:rsid w:val="00B75EDA"/>
    <w:pPr>
      <w:tabs>
        <w:tab w:val="center" w:pos="4680"/>
        <w:tab w:val="right" w:pos="9360"/>
      </w:tabs>
    </w:pPr>
  </w:style>
  <w:style w:type="character" w:customStyle="1" w:styleId="HeaderChar">
    <w:name w:val="Header Char"/>
    <w:basedOn w:val="DefaultParagraphFont"/>
    <w:link w:val="Header"/>
    <w:uiPriority w:val="99"/>
    <w:rsid w:val="00B75EDA"/>
    <w:rPr>
      <w:rFonts w:ascii="Helvetica" w:hAnsi="Helvetica" w:cs="Helvetica"/>
      <w:sz w:val="22"/>
      <w:szCs w:val="22"/>
    </w:rPr>
  </w:style>
  <w:style w:type="paragraph" w:styleId="Footer">
    <w:name w:val="footer"/>
    <w:basedOn w:val="Normal"/>
    <w:link w:val="FooterChar"/>
    <w:uiPriority w:val="99"/>
    <w:unhideWhenUsed/>
    <w:rsid w:val="00B75EDA"/>
    <w:pPr>
      <w:tabs>
        <w:tab w:val="center" w:pos="4680"/>
        <w:tab w:val="right" w:pos="9360"/>
      </w:tabs>
    </w:pPr>
  </w:style>
  <w:style w:type="character" w:customStyle="1" w:styleId="FooterChar">
    <w:name w:val="Footer Char"/>
    <w:basedOn w:val="DefaultParagraphFont"/>
    <w:link w:val="Footer"/>
    <w:uiPriority w:val="99"/>
    <w:rsid w:val="00B75EDA"/>
    <w:rPr>
      <w:rFonts w:ascii="Helvetica" w:hAnsi="Helvetica" w:cs="Helvetica"/>
      <w:sz w:val="22"/>
      <w:szCs w:val="22"/>
    </w:rPr>
  </w:style>
  <w:style w:type="character" w:styleId="Strong">
    <w:name w:val="Strong"/>
    <w:basedOn w:val="DefaultParagraphFont"/>
    <w:uiPriority w:val="99"/>
    <w:qFormat/>
    <w:rsid w:val="00B75EDA"/>
    <w:rPr>
      <w:b/>
      <w:bCs/>
    </w:rPr>
  </w:style>
  <w:style w:type="paragraph" w:styleId="FootnoteText">
    <w:name w:val="footnote text"/>
    <w:basedOn w:val="Normal"/>
    <w:link w:val="FootnoteTextChar"/>
    <w:uiPriority w:val="99"/>
    <w:semiHidden/>
    <w:unhideWhenUsed/>
    <w:rsid w:val="00CC5B2F"/>
    <w:rPr>
      <w:sz w:val="20"/>
      <w:szCs w:val="20"/>
    </w:rPr>
  </w:style>
  <w:style w:type="character" w:customStyle="1" w:styleId="FootnoteTextChar">
    <w:name w:val="Footnote Text Char"/>
    <w:basedOn w:val="DefaultParagraphFont"/>
    <w:link w:val="FootnoteText"/>
    <w:uiPriority w:val="99"/>
    <w:semiHidden/>
    <w:rsid w:val="00CC5B2F"/>
    <w:rPr>
      <w:rFonts w:ascii="Helvetica" w:hAnsi="Helvetica" w:cs="Helvetica"/>
      <w:sz w:val="20"/>
      <w:szCs w:val="20"/>
    </w:rPr>
  </w:style>
  <w:style w:type="character" w:styleId="FootnoteReference">
    <w:name w:val="footnote reference"/>
    <w:basedOn w:val="DefaultParagraphFont"/>
    <w:uiPriority w:val="99"/>
    <w:semiHidden/>
    <w:unhideWhenUsed/>
    <w:rsid w:val="00CC5B2F"/>
    <w:rPr>
      <w:vertAlign w:val="superscript"/>
    </w:rPr>
  </w:style>
  <w:style w:type="character" w:customStyle="1" w:styleId="Heading3Char">
    <w:name w:val="Heading 3 Char"/>
    <w:basedOn w:val="DefaultParagraphFont"/>
    <w:link w:val="Heading3"/>
    <w:uiPriority w:val="9"/>
    <w:rsid w:val="00AD57E1"/>
    <w:rPr>
      <w:rFonts w:ascii="Georgia" w:hAnsi="Georgia" w:cs="Helvetica"/>
      <w:color w:val="EB7D5F"/>
      <w:sz w:val="28"/>
      <w:szCs w:val="22"/>
    </w:rPr>
  </w:style>
  <w:style w:type="character" w:styleId="PlaceholderText">
    <w:name w:val="Placeholder Text"/>
    <w:basedOn w:val="DefaultParagraphFont"/>
    <w:uiPriority w:val="99"/>
    <w:semiHidden/>
    <w:rsid w:val="006F31D0"/>
    <w:rPr>
      <w:color w:val="808080"/>
    </w:rPr>
  </w:style>
  <w:style w:type="table" w:styleId="TableGrid">
    <w:name w:val="Table Grid"/>
    <w:basedOn w:val="TableNormal"/>
    <w:uiPriority w:val="39"/>
    <w:rsid w:val="006F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F32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TFTable">
    <w:name w:val="RTFTable"/>
    <w:basedOn w:val="PlainTable4"/>
    <w:uiPriority w:val="99"/>
    <w:rsid w:val="004F3266"/>
    <w:pPr>
      <w:jc w:val="center"/>
    </w:pPr>
    <w:rPr>
      <w:rFonts w:ascii="Helvetica" w:hAnsi="Helvetica"/>
      <w:sz w:val="22"/>
    </w:rPr>
    <w:tblPr/>
    <w:tcPr>
      <w:shd w:val="clear" w:color="auto" w:fill="auto"/>
      <w:vAlign w:val="center"/>
    </w:tcPr>
    <w:tblStylePr w:type="firstRow">
      <w:pPr>
        <w:jc w:val="center"/>
      </w:pPr>
      <w:rPr>
        <w:rFonts w:ascii="Helvetica" w:hAnsi="Helvetica"/>
        <w:b w:val="0"/>
        <w:bCs/>
        <w:color w:val="FFFFFF" w:themeColor="background1"/>
        <w:sz w:val="22"/>
      </w:rPr>
      <w:tblPr/>
      <w:tcPr>
        <w:shd w:val="clear" w:color="auto" w:fill="336E7E"/>
      </w:tcPr>
    </w:tblStylePr>
    <w:tblStylePr w:type="lastRow">
      <w:rPr>
        <w:rFonts w:ascii="Helvetica" w:hAnsi="Helvetica"/>
        <w:b w:val="0"/>
        <w:bCs/>
        <w:color w:val="auto"/>
        <w:sz w:val="22"/>
      </w:rPr>
    </w:tblStylePr>
    <w:tblStylePr w:type="firstCol">
      <w:pPr>
        <w:jc w:val="left"/>
      </w:pPr>
      <w:rPr>
        <w:rFonts w:ascii="Helvetica" w:hAnsi="Helvetica"/>
        <w:b w:val="0"/>
        <w:bCs/>
        <w:color w:val="auto"/>
        <w:sz w:val="22"/>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D5DCE4" w:themeFill="text2" w:themeFillTint="33"/>
      </w:tcPr>
    </w:tblStylePr>
    <w:tblStylePr w:type="nwCell">
      <w:pPr>
        <w:jc w:val="left"/>
      </w:pPr>
      <w:rPr>
        <w:rFonts w:ascii="Helvetica" w:hAnsi="Helvetica"/>
        <w:color w:val="FFFFFF" w:themeColor="background1"/>
        <w:sz w:val="22"/>
      </w:rPr>
    </w:tblStylePr>
  </w:style>
  <w:style w:type="paragraph" w:customStyle="1" w:styleId="TableTitle">
    <w:name w:val="Table Title"/>
    <w:basedOn w:val="Normal"/>
    <w:link w:val="TableTitleChar"/>
    <w:qFormat/>
    <w:rsid w:val="00603814"/>
    <w:rPr>
      <w:color w:val="9E4A30"/>
    </w:rPr>
  </w:style>
  <w:style w:type="character" w:customStyle="1" w:styleId="TableTitleChar">
    <w:name w:val="Table Title Char"/>
    <w:basedOn w:val="DefaultParagraphFont"/>
    <w:link w:val="TableTitle"/>
    <w:rsid w:val="00603814"/>
    <w:rPr>
      <w:rFonts w:ascii="Helvetica" w:hAnsi="Helvetica" w:cs="Helvetica"/>
      <w:color w:val="9E4A30"/>
      <w:sz w:val="22"/>
      <w:szCs w:val="22"/>
    </w:rPr>
  </w:style>
  <w:style w:type="paragraph" w:styleId="ListParagraph">
    <w:name w:val="List Paragraph"/>
    <w:basedOn w:val="Normal"/>
    <w:uiPriority w:val="34"/>
    <w:qFormat/>
    <w:rsid w:val="005F536E"/>
    <w:pPr>
      <w:ind w:left="720"/>
      <w:contextualSpacing/>
    </w:pPr>
  </w:style>
  <w:style w:type="paragraph" w:styleId="Caption">
    <w:name w:val="caption"/>
    <w:basedOn w:val="Normal"/>
    <w:next w:val="Normal"/>
    <w:uiPriority w:val="35"/>
    <w:unhideWhenUsed/>
    <w:qFormat/>
    <w:rsid w:val="005263DE"/>
    <w:pPr>
      <w:spacing w:after="200" w:line="240" w:lineRule="auto"/>
    </w:pPr>
    <w:rPr>
      <w:i/>
      <w:iCs/>
      <w:color w:val="44546A" w:themeColor="text2"/>
      <w:sz w:val="18"/>
      <w:szCs w:val="18"/>
    </w:rPr>
  </w:style>
  <w:style w:type="paragraph" w:customStyle="1" w:styleId="Footnote">
    <w:name w:val="Footnote"/>
    <w:basedOn w:val="FootnoteText"/>
    <w:link w:val="FootnoteChar"/>
    <w:qFormat/>
    <w:rsid w:val="00F1394E"/>
    <w:rPr>
      <w:sz w:val="18"/>
    </w:rPr>
  </w:style>
  <w:style w:type="character" w:styleId="CommentReference">
    <w:name w:val="annotation reference"/>
    <w:basedOn w:val="DefaultParagraphFont"/>
    <w:uiPriority w:val="99"/>
    <w:semiHidden/>
    <w:unhideWhenUsed/>
    <w:rsid w:val="00BA3B08"/>
    <w:rPr>
      <w:sz w:val="16"/>
      <w:szCs w:val="16"/>
    </w:rPr>
  </w:style>
  <w:style w:type="character" w:customStyle="1" w:styleId="FootnoteChar">
    <w:name w:val="Footnote Char"/>
    <w:basedOn w:val="FootnoteTextChar"/>
    <w:link w:val="Footnote"/>
    <w:rsid w:val="00F1394E"/>
    <w:rPr>
      <w:rFonts w:ascii="Helvetica" w:hAnsi="Helvetica" w:cs="Helvetica"/>
      <w:sz w:val="18"/>
      <w:szCs w:val="20"/>
    </w:rPr>
  </w:style>
  <w:style w:type="paragraph" w:styleId="CommentText">
    <w:name w:val="annotation text"/>
    <w:basedOn w:val="Normal"/>
    <w:link w:val="CommentTextChar"/>
    <w:uiPriority w:val="99"/>
    <w:semiHidden/>
    <w:unhideWhenUsed/>
    <w:rsid w:val="00BA3B08"/>
    <w:pPr>
      <w:spacing w:line="240" w:lineRule="auto"/>
    </w:pPr>
    <w:rPr>
      <w:sz w:val="20"/>
      <w:szCs w:val="20"/>
    </w:rPr>
  </w:style>
  <w:style w:type="character" w:customStyle="1" w:styleId="CommentTextChar">
    <w:name w:val="Comment Text Char"/>
    <w:basedOn w:val="DefaultParagraphFont"/>
    <w:link w:val="CommentText"/>
    <w:uiPriority w:val="99"/>
    <w:semiHidden/>
    <w:rsid w:val="00BA3B08"/>
    <w:rPr>
      <w:rFonts w:ascii="Helvetica" w:hAnsi="Helvetica" w:cs="Helvetica"/>
      <w:sz w:val="20"/>
      <w:szCs w:val="20"/>
    </w:rPr>
  </w:style>
  <w:style w:type="paragraph" w:styleId="CommentSubject">
    <w:name w:val="annotation subject"/>
    <w:basedOn w:val="CommentText"/>
    <w:next w:val="CommentText"/>
    <w:link w:val="CommentSubjectChar"/>
    <w:uiPriority w:val="99"/>
    <w:semiHidden/>
    <w:unhideWhenUsed/>
    <w:rsid w:val="00BA3B08"/>
    <w:rPr>
      <w:b/>
      <w:bCs/>
    </w:rPr>
  </w:style>
  <w:style w:type="character" w:customStyle="1" w:styleId="CommentSubjectChar">
    <w:name w:val="Comment Subject Char"/>
    <w:basedOn w:val="CommentTextChar"/>
    <w:link w:val="CommentSubject"/>
    <w:uiPriority w:val="99"/>
    <w:semiHidden/>
    <w:rsid w:val="00BA3B08"/>
    <w:rPr>
      <w:rFonts w:ascii="Helvetica" w:hAnsi="Helvetica" w:cs="Helvetica"/>
      <w:b/>
      <w:bCs/>
      <w:sz w:val="20"/>
      <w:szCs w:val="20"/>
    </w:rPr>
  </w:style>
  <w:style w:type="paragraph" w:styleId="BalloonText">
    <w:name w:val="Balloon Text"/>
    <w:basedOn w:val="Normal"/>
    <w:link w:val="BalloonTextChar"/>
    <w:uiPriority w:val="99"/>
    <w:semiHidden/>
    <w:unhideWhenUsed/>
    <w:rsid w:val="00BA3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B08"/>
    <w:rPr>
      <w:rFonts w:ascii="Segoe UI" w:hAnsi="Segoe UI" w:cs="Segoe UI"/>
      <w:sz w:val="18"/>
      <w:szCs w:val="18"/>
    </w:rPr>
  </w:style>
  <w:style w:type="character" w:styleId="Hyperlink">
    <w:name w:val="Hyperlink"/>
    <w:basedOn w:val="DefaultParagraphFont"/>
    <w:uiPriority w:val="99"/>
    <w:semiHidden/>
    <w:unhideWhenUsed/>
    <w:rsid w:val="00810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05586">
      <w:bodyDiv w:val="1"/>
      <w:marLeft w:val="0"/>
      <w:marRight w:val="0"/>
      <w:marTop w:val="0"/>
      <w:marBottom w:val="0"/>
      <w:divBdr>
        <w:top w:val="none" w:sz="0" w:space="0" w:color="auto"/>
        <w:left w:val="none" w:sz="0" w:space="0" w:color="auto"/>
        <w:bottom w:val="none" w:sz="0" w:space="0" w:color="auto"/>
        <w:right w:val="none" w:sz="0" w:space="0" w:color="auto"/>
      </w:divBdr>
    </w:div>
    <w:div w:id="405688539">
      <w:bodyDiv w:val="1"/>
      <w:marLeft w:val="0"/>
      <w:marRight w:val="0"/>
      <w:marTop w:val="0"/>
      <w:marBottom w:val="0"/>
      <w:divBdr>
        <w:top w:val="none" w:sz="0" w:space="0" w:color="auto"/>
        <w:left w:val="none" w:sz="0" w:space="0" w:color="auto"/>
        <w:bottom w:val="none" w:sz="0" w:space="0" w:color="auto"/>
        <w:right w:val="none" w:sz="0" w:space="0" w:color="auto"/>
      </w:divBdr>
    </w:div>
    <w:div w:id="424157210">
      <w:bodyDiv w:val="1"/>
      <w:marLeft w:val="0"/>
      <w:marRight w:val="0"/>
      <w:marTop w:val="0"/>
      <w:marBottom w:val="0"/>
      <w:divBdr>
        <w:top w:val="none" w:sz="0" w:space="0" w:color="auto"/>
        <w:left w:val="none" w:sz="0" w:space="0" w:color="auto"/>
        <w:bottom w:val="none" w:sz="0" w:space="0" w:color="auto"/>
        <w:right w:val="none" w:sz="0" w:space="0" w:color="auto"/>
      </w:divBdr>
    </w:div>
    <w:div w:id="434208252">
      <w:bodyDiv w:val="1"/>
      <w:marLeft w:val="0"/>
      <w:marRight w:val="0"/>
      <w:marTop w:val="0"/>
      <w:marBottom w:val="0"/>
      <w:divBdr>
        <w:top w:val="none" w:sz="0" w:space="0" w:color="auto"/>
        <w:left w:val="none" w:sz="0" w:space="0" w:color="auto"/>
        <w:bottom w:val="none" w:sz="0" w:space="0" w:color="auto"/>
        <w:right w:val="none" w:sz="0" w:space="0" w:color="auto"/>
      </w:divBdr>
    </w:div>
    <w:div w:id="659970461">
      <w:bodyDiv w:val="1"/>
      <w:marLeft w:val="0"/>
      <w:marRight w:val="0"/>
      <w:marTop w:val="0"/>
      <w:marBottom w:val="0"/>
      <w:divBdr>
        <w:top w:val="none" w:sz="0" w:space="0" w:color="auto"/>
        <w:left w:val="none" w:sz="0" w:space="0" w:color="auto"/>
        <w:bottom w:val="none" w:sz="0" w:space="0" w:color="auto"/>
        <w:right w:val="none" w:sz="0" w:space="0" w:color="auto"/>
      </w:divBdr>
    </w:div>
    <w:div w:id="863321755">
      <w:bodyDiv w:val="1"/>
      <w:marLeft w:val="0"/>
      <w:marRight w:val="0"/>
      <w:marTop w:val="0"/>
      <w:marBottom w:val="0"/>
      <w:divBdr>
        <w:top w:val="none" w:sz="0" w:space="0" w:color="auto"/>
        <w:left w:val="none" w:sz="0" w:space="0" w:color="auto"/>
        <w:bottom w:val="none" w:sz="0" w:space="0" w:color="auto"/>
        <w:right w:val="none" w:sz="0" w:space="0" w:color="auto"/>
      </w:divBdr>
    </w:div>
    <w:div w:id="1038622559">
      <w:bodyDiv w:val="1"/>
      <w:marLeft w:val="0"/>
      <w:marRight w:val="0"/>
      <w:marTop w:val="0"/>
      <w:marBottom w:val="0"/>
      <w:divBdr>
        <w:top w:val="none" w:sz="0" w:space="0" w:color="auto"/>
        <w:left w:val="none" w:sz="0" w:space="0" w:color="auto"/>
        <w:bottom w:val="none" w:sz="0" w:space="0" w:color="auto"/>
        <w:right w:val="none" w:sz="0" w:space="0" w:color="auto"/>
      </w:divBdr>
    </w:div>
    <w:div w:id="1396707337">
      <w:bodyDiv w:val="1"/>
      <w:marLeft w:val="0"/>
      <w:marRight w:val="0"/>
      <w:marTop w:val="0"/>
      <w:marBottom w:val="0"/>
      <w:divBdr>
        <w:top w:val="none" w:sz="0" w:space="0" w:color="auto"/>
        <w:left w:val="none" w:sz="0" w:space="0" w:color="auto"/>
        <w:bottom w:val="none" w:sz="0" w:space="0" w:color="auto"/>
        <w:right w:val="none" w:sz="0" w:space="0" w:color="auto"/>
      </w:divBdr>
    </w:div>
    <w:div w:id="167962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rtf.nwcouncil.org/simplified-energy-enthalpy-model-s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F2237-CC77-48B4-83DD-B7C57366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4356</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2020-2024 Business Plan – 2021 Work Plan Update</vt:lpstr>
    </vt:vector>
  </TitlesOfParts>
  <Company>Northwest Power and Conservation Council</Company>
  <LinksUpToDate>false</LinksUpToDate>
  <CharactersWithSpaces>29133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2020-2024 Business Plan – 2021 Work Plan Update</dc:title>
  <dc:subject/>
  <dc:creator>Jennifer Light</dc:creator>
  <cp:keywords/>
  <dc:description/>
  <cp:lastModifiedBy>Jennifer Light</cp:lastModifiedBy>
  <cp:revision>3</cp:revision>
  <cp:lastPrinted>2019-10-23T18:04:00Z</cp:lastPrinted>
  <dcterms:created xsi:type="dcterms:W3CDTF">2020-08-21T21:44:00Z</dcterms:created>
  <dcterms:modified xsi:type="dcterms:W3CDTF">2020-08-21T22:16:00Z</dcterms:modified>
</cp:coreProperties>
</file>