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3A" w:rsidRPr="00F5535B" w:rsidRDefault="00BF5E82" w:rsidP="00F553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Columbia River Basin </w:t>
      </w:r>
      <w:r w:rsidR="002D53E0" w:rsidRPr="00F5535B">
        <w:rPr>
          <w:rFonts w:ascii="Times New Roman" w:hAnsi="Times New Roman" w:cs="Times New Roman"/>
          <w:b/>
          <w:sz w:val="24"/>
          <w:szCs w:val="24"/>
        </w:rPr>
        <w:t xml:space="preserve">Fish and Wildlife Program </w:t>
      </w:r>
      <w:r w:rsidR="009A12AD">
        <w:rPr>
          <w:rFonts w:ascii="Times New Roman" w:hAnsi="Times New Roman" w:cs="Times New Roman"/>
          <w:b/>
          <w:sz w:val="24"/>
          <w:szCs w:val="24"/>
        </w:rPr>
        <w:t>Draft</w:t>
      </w:r>
      <w:r w:rsidR="002D53E0" w:rsidRPr="00F5535B">
        <w:rPr>
          <w:rFonts w:ascii="Times New Roman" w:hAnsi="Times New Roman" w:cs="Times New Roman"/>
          <w:b/>
          <w:sz w:val="24"/>
          <w:szCs w:val="24"/>
        </w:rPr>
        <w:t xml:space="preserve"> Guidance for</w:t>
      </w:r>
      <w:r w:rsidR="00577C3A" w:rsidRPr="00F5535B">
        <w:rPr>
          <w:rFonts w:ascii="Times New Roman" w:hAnsi="Times New Roman" w:cs="Times New Roman"/>
          <w:b/>
          <w:sz w:val="24"/>
          <w:szCs w:val="24"/>
        </w:rPr>
        <w:t xml:space="preserve"> </w:t>
      </w:r>
      <w:r w:rsidR="002D53E0" w:rsidRPr="00F5535B">
        <w:rPr>
          <w:rFonts w:ascii="Times New Roman" w:hAnsi="Times New Roman" w:cs="Times New Roman"/>
          <w:b/>
          <w:sz w:val="24"/>
          <w:szCs w:val="24"/>
        </w:rPr>
        <w:t xml:space="preserve">a </w:t>
      </w:r>
    </w:p>
    <w:p w:rsidR="00AA5FC3" w:rsidRDefault="002D53E0" w:rsidP="00AA5FC3">
      <w:pPr>
        <w:spacing w:after="0" w:line="240" w:lineRule="auto"/>
        <w:jc w:val="center"/>
        <w:rPr>
          <w:rFonts w:ascii="Times New Roman" w:hAnsi="Times New Roman" w:cs="Times New Roman"/>
          <w:b/>
          <w:sz w:val="24"/>
          <w:szCs w:val="24"/>
        </w:rPr>
        <w:sectPr w:rsidR="00AA5FC3" w:rsidSect="00AA5FC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docGrid w:linePitch="360"/>
        </w:sectPr>
      </w:pPr>
      <w:r w:rsidRPr="00F5535B">
        <w:rPr>
          <w:rFonts w:ascii="Times New Roman" w:hAnsi="Times New Roman" w:cs="Times New Roman"/>
          <w:b/>
          <w:sz w:val="24"/>
          <w:szCs w:val="24"/>
        </w:rPr>
        <w:t xml:space="preserve">Balanced </w:t>
      </w:r>
      <w:r w:rsidR="00577C3A" w:rsidRPr="00F5535B">
        <w:rPr>
          <w:rFonts w:ascii="Times New Roman" w:hAnsi="Times New Roman" w:cs="Times New Roman"/>
          <w:b/>
          <w:sz w:val="24"/>
          <w:szCs w:val="24"/>
        </w:rPr>
        <w:t xml:space="preserve">and Coordinated </w:t>
      </w:r>
      <w:r w:rsidRPr="00F5535B">
        <w:rPr>
          <w:rFonts w:ascii="Times New Roman" w:hAnsi="Times New Roman" w:cs="Times New Roman"/>
          <w:b/>
          <w:sz w:val="24"/>
          <w:szCs w:val="24"/>
        </w:rPr>
        <w:t>Approach for Conducting Monitoring and Research Activities</w:t>
      </w:r>
    </w:p>
    <w:p w:rsidR="00AA5FC3" w:rsidRDefault="00AA5FC3" w:rsidP="00AA5FC3">
      <w:pPr>
        <w:spacing w:after="0" w:line="240" w:lineRule="auto"/>
        <w:jc w:val="center"/>
        <w:rPr>
          <w:rFonts w:ascii="Times New Roman" w:hAnsi="Times New Roman" w:cs="Times New Roman"/>
          <w:b/>
          <w:sz w:val="24"/>
          <w:szCs w:val="24"/>
        </w:rPr>
        <w:sectPr w:rsidR="00AA5FC3" w:rsidSect="00AA5FC3">
          <w:type w:val="continuous"/>
          <w:pgSz w:w="12240" w:h="15840"/>
          <w:pgMar w:top="1440" w:right="1440" w:bottom="1440" w:left="1440" w:header="720" w:footer="720" w:gutter="0"/>
          <w:pgNumType w:start="1"/>
          <w:cols w:num="2" w:space="720"/>
          <w:docGrid w:linePitch="360"/>
        </w:sectPr>
      </w:pPr>
    </w:p>
    <w:p w:rsidR="00465EDC" w:rsidRPr="00F5535B" w:rsidRDefault="00465EDC" w:rsidP="00F5535B">
      <w:pPr>
        <w:spacing w:after="0" w:line="240" w:lineRule="auto"/>
        <w:rPr>
          <w:rFonts w:ascii="Times New Roman" w:hAnsi="Times New Roman" w:cs="Times New Roman"/>
          <w:sz w:val="24"/>
          <w:szCs w:val="24"/>
          <w:u w:val="single"/>
        </w:rPr>
      </w:pPr>
      <w:r w:rsidRPr="00F5535B">
        <w:rPr>
          <w:rFonts w:ascii="Times New Roman" w:hAnsi="Times New Roman" w:cs="Times New Roman"/>
          <w:sz w:val="24"/>
          <w:szCs w:val="24"/>
          <w:u w:val="single"/>
        </w:rPr>
        <w:lastRenderedPageBreak/>
        <w:t>Prioritization</w:t>
      </w:r>
    </w:p>
    <w:p w:rsidR="00CF265D" w:rsidRDefault="00BF5E82" w:rsidP="00F553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Columbia River Basin Fish and Wildlife </w:t>
      </w:r>
      <w:r w:rsidR="00465EDC" w:rsidRPr="00F5535B">
        <w:rPr>
          <w:rFonts w:ascii="Times New Roman" w:hAnsi="Times New Roman" w:cs="Times New Roman"/>
          <w:sz w:val="24"/>
          <w:szCs w:val="24"/>
        </w:rPr>
        <w:t xml:space="preserve">Program </w:t>
      </w:r>
      <w:r>
        <w:rPr>
          <w:rFonts w:ascii="Times New Roman" w:hAnsi="Times New Roman" w:cs="Times New Roman"/>
          <w:sz w:val="24"/>
          <w:szCs w:val="24"/>
        </w:rPr>
        <w:t xml:space="preserve">(Program) </w:t>
      </w:r>
      <w:r w:rsidR="00465EDC" w:rsidRPr="00F5535B">
        <w:rPr>
          <w:rFonts w:ascii="Times New Roman" w:hAnsi="Times New Roman" w:cs="Times New Roman"/>
          <w:sz w:val="24"/>
          <w:szCs w:val="24"/>
        </w:rPr>
        <w:t>priorities</w:t>
      </w:r>
      <w:r w:rsidR="00CF265D" w:rsidRPr="00CF265D">
        <w:rPr>
          <w:rFonts w:ascii="Times New Roman" w:hAnsi="Times New Roman" w:cs="Times New Roman"/>
          <w:sz w:val="24"/>
          <w:szCs w:val="24"/>
        </w:rPr>
        <w:t xml:space="preserve"> </w:t>
      </w:r>
      <w:r w:rsidR="00CF265D" w:rsidRPr="00F5535B">
        <w:rPr>
          <w:rFonts w:ascii="Times New Roman" w:hAnsi="Times New Roman" w:cs="Times New Roman"/>
          <w:sz w:val="24"/>
          <w:szCs w:val="24"/>
        </w:rPr>
        <w:t>guide monitoring</w:t>
      </w:r>
      <w:r w:rsidR="00CF265D">
        <w:rPr>
          <w:rFonts w:ascii="Times New Roman" w:hAnsi="Times New Roman" w:cs="Times New Roman"/>
          <w:sz w:val="24"/>
          <w:szCs w:val="24"/>
        </w:rPr>
        <w:t xml:space="preserve"> and research</w:t>
      </w:r>
      <w:r w:rsidR="00CF265D" w:rsidRPr="00F5535B">
        <w:rPr>
          <w:rFonts w:ascii="Times New Roman" w:hAnsi="Times New Roman" w:cs="Times New Roman"/>
          <w:sz w:val="24"/>
          <w:szCs w:val="24"/>
        </w:rPr>
        <w:t xml:space="preserve"> activities for fish and wildlife in the Columbia River Basin</w:t>
      </w:r>
      <w:r>
        <w:rPr>
          <w:rFonts w:ascii="Times New Roman" w:hAnsi="Times New Roman" w:cs="Times New Roman"/>
          <w:sz w:val="24"/>
          <w:szCs w:val="24"/>
        </w:rPr>
        <w:t>. These consist of</w:t>
      </w:r>
      <w:r w:rsidR="00CF265D">
        <w:rPr>
          <w:rFonts w:ascii="Times New Roman" w:hAnsi="Times New Roman" w:cs="Times New Roman"/>
          <w:sz w:val="24"/>
          <w:szCs w:val="24"/>
        </w:rPr>
        <w:t>:</w:t>
      </w:r>
    </w:p>
    <w:p w:rsidR="00CF265D" w:rsidRPr="00CF265D" w:rsidRDefault="00465EDC" w:rsidP="00CF265D">
      <w:pPr>
        <w:pStyle w:val="ListParagraph"/>
        <w:numPr>
          <w:ilvl w:val="0"/>
          <w:numId w:val="3"/>
        </w:numPr>
        <w:rPr>
          <w:vertAlign w:val="superscript"/>
        </w:rPr>
      </w:pPr>
      <w:r w:rsidRPr="00CF265D">
        <w:t xml:space="preserve">Program Questions, </w:t>
      </w:r>
    </w:p>
    <w:p w:rsidR="00CF265D" w:rsidRPr="00CF265D" w:rsidRDefault="00465EDC" w:rsidP="00CF265D">
      <w:pPr>
        <w:pStyle w:val="ListParagraph"/>
        <w:numPr>
          <w:ilvl w:val="0"/>
          <w:numId w:val="3"/>
        </w:numPr>
        <w:rPr>
          <w:vertAlign w:val="superscript"/>
        </w:rPr>
      </w:pPr>
      <w:r w:rsidRPr="00CF265D">
        <w:t xml:space="preserve">High Level Indicators, </w:t>
      </w:r>
    </w:p>
    <w:p w:rsidR="00CF265D" w:rsidRPr="00CF265D" w:rsidRDefault="002961F5" w:rsidP="00CF265D">
      <w:pPr>
        <w:pStyle w:val="ListParagraph"/>
        <w:numPr>
          <w:ilvl w:val="0"/>
          <w:numId w:val="3"/>
        </w:numPr>
        <w:rPr>
          <w:vertAlign w:val="superscript"/>
        </w:rPr>
      </w:pPr>
      <w:r w:rsidRPr="00CF265D">
        <w:t xml:space="preserve">Council’s Research Plan, </w:t>
      </w:r>
    </w:p>
    <w:p w:rsidR="00CF265D" w:rsidRPr="00CF265D" w:rsidRDefault="00465EDC" w:rsidP="00CF265D">
      <w:pPr>
        <w:pStyle w:val="ListParagraph"/>
        <w:numPr>
          <w:ilvl w:val="0"/>
          <w:numId w:val="3"/>
        </w:numPr>
        <w:rPr>
          <w:vertAlign w:val="superscript"/>
        </w:rPr>
      </w:pPr>
      <w:r w:rsidRPr="00CF265D">
        <w:t xml:space="preserve">goals and biological objectives described in the Program and its subbasin plans, </w:t>
      </w:r>
    </w:p>
    <w:p w:rsidR="00CF265D" w:rsidRPr="00CF265D" w:rsidRDefault="00465EDC" w:rsidP="00CF265D">
      <w:pPr>
        <w:pStyle w:val="ListParagraph"/>
        <w:numPr>
          <w:ilvl w:val="0"/>
          <w:numId w:val="3"/>
        </w:numPr>
        <w:rPr>
          <w:vertAlign w:val="superscript"/>
        </w:rPr>
      </w:pPr>
      <w:r w:rsidRPr="00CF265D">
        <w:t>focal species</w:t>
      </w:r>
      <w:r w:rsidR="00BF5E82">
        <w:t>,</w:t>
      </w:r>
    </w:p>
    <w:p w:rsidR="00465EDC" w:rsidRPr="00CF265D" w:rsidRDefault="00465EDC" w:rsidP="00CF265D">
      <w:pPr>
        <w:pStyle w:val="ListParagraph"/>
        <w:numPr>
          <w:ilvl w:val="0"/>
          <w:numId w:val="3"/>
        </w:numPr>
        <w:rPr>
          <w:vertAlign w:val="superscript"/>
        </w:rPr>
      </w:pPr>
      <w:proofErr w:type="gramStart"/>
      <w:r w:rsidRPr="00CF265D">
        <w:t>focal</w:t>
      </w:r>
      <w:proofErr w:type="gramEnd"/>
      <w:r w:rsidRPr="00CF265D">
        <w:t xml:space="preserve"> habitats</w:t>
      </w:r>
      <w:r w:rsidR="00BF5E82">
        <w:t>.</w:t>
      </w:r>
    </w:p>
    <w:p w:rsidR="002961F5" w:rsidRPr="00F5535B" w:rsidRDefault="002961F5" w:rsidP="00F5535B">
      <w:pPr>
        <w:spacing w:after="0" w:line="240" w:lineRule="auto"/>
        <w:rPr>
          <w:rFonts w:ascii="Times New Roman" w:hAnsi="Times New Roman" w:cs="Times New Roman"/>
          <w:sz w:val="24"/>
          <w:szCs w:val="24"/>
          <w:vertAlign w:val="superscript"/>
        </w:rPr>
      </w:pPr>
    </w:p>
    <w:p w:rsidR="00465EDC" w:rsidRPr="00F5535B" w:rsidRDefault="00254BA7" w:rsidP="00F5535B">
      <w:pPr>
        <w:pStyle w:val="ListParagraph"/>
        <w:autoSpaceDE w:val="0"/>
        <w:autoSpaceDN w:val="0"/>
        <w:adjustRightInd w:val="0"/>
        <w:ind w:left="0"/>
      </w:pPr>
      <w:r w:rsidRPr="00F5535B">
        <w:t xml:space="preserve">When </w:t>
      </w:r>
      <w:r>
        <w:t xml:space="preserve">prioritizing and selecting </w:t>
      </w:r>
      <w:r w:rsidRPr="00F5535B">
        <w:t xml:space="preserve">actions </w:t>
      </w:r>
      <w:r>
        <w:t>to be monitored</w:t>
      </w:r>
      <w:r w:rsidR="00BF5E82">
        <w:t>,</w:t>
      </w:r>
      <w:r w:rsidRPr="00F5535B">
        <w:t xml:space="preserve"> and what will be researched </w:t>
      </w:r>
      <w:r w:rsidR="00465EDC" w:rsidRPr="00F5535B">
        <w:t>a transparent structured decision process</w:t>
      </w:r>
      <w:r>
        <w:t xml:space="preserve"> should be used</w:t>
      </w:r>
      <w:r w:rsidR="00465EDC" w:rsidRPr="00F5535B">
        <w:rPr>
          <w:rStyle w:val="FootnoteReference"/>
          <w:vertAlign w:val="superscript"/>
        </w:rPr>
        <w:footnoteReference w:id="1"/>
      </w:r>
      <w:r>
        <w:t>.</w:t>
      </w:r>
      <w:r w:rsidR="00465EDC" w:rsidRPr="00F5535B">
        <w:t xml:space="preserve"> </w:t>
      </w:r>
    </w:p>
    <w:p w:rsidR="00465EDC" w:rsidRPr="00F5535B" w:rsidRDefault="00465EDC" w:rsidP="00F5535B">
      <w:pPr>
        <w:spacing w:after="0" w:line="240" w:lineRule="auto"/>
        <w:rPr>
          <w:rFonts w:ascii="Times New Roman" w:hAnsi="Times New Roman" w:cs="Times New Roman"/>
          <w:sz w:val="24"/>
          <w:szCs w:val="24"/>
        </w:rPr>
      </w:pPr>
    </w:p>
    <w:p w:rsidR="00D947E3" w:rsidRPr="00F5535B"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 xml:space="preserve">To ensure monitoring activities align with Program priorities clear linkages between Program priorities, project objectives and monitoring tasks must be stated </w:t>
      </w:r>
    </w:p>
    <w:p w:rsidR="006940CD" w:rsidRDefault="006940CD" w:rsidP="00F5535B">
      <w:pPr>
        <w:autoSpaceDE w:val="0"/>
        <w:autoSpaceDN w:val="0"/>
        <w:adjustRightInd w:val="0"/>
        <w:spacing w:after="0" w:line="240" w:lineRule="auto"/>
        <w:rPr>
          <w:rFonts w:ascii="Times New Roman" w:hAnsi="Times New Roman" w:cs="Times New Roman"/>
          <w:sz w:val="24"/>
          <w:szCs w:val="24"/>
        </w:rPr>
      </w:pPr>
    </w:p>
    <w:p w:rsidR="00BF5E82" w:rsidRDefault="0096173D" w:rsidP="00BF5E82">
      <w:pPr>
        <w:autoSpaceDE w:val="0"/>
        <w:autoSpaceDN w:val="0"/>
        <w:adjustRightInd w:val="0"/>
        <w:spacing w:after="0" w:line="240" w:lineRule="auto"/>
        <w:rPr>
          <w:rFonts w:ascii="Times New Roman" w:hAnsi="Times New Roman" w:cs="Times New Roman"/>
          <w:sz w:val="24"/>
          <w:szCs w:val="24"/>
        </w:rPr>
      </w:pPr>
      <w:r w:rsidRPr="00F5535B">
        <w:rPr>
          <w:rFonts w:ascii="Times New Roman" w:hAnsi="Times New Roman" w:cs="Times New Roman"/>
          <w:sz w:val="24"/>
          <w:szCs w:val="24"/>
        </w:rPr>
        <w:t>To ensure alignment with the Program and its Research Plan</w:t>
      </w:r>
      <w:r w:rsidR="00BF5E82">
        <w:rPr>
          <w:rFonts w:ascii="Times New Roman" w:hAnsi="Times New Roman" w:cs="Times New Roman"/>
          <w:sz w:val="24"/>
          <w:szCs w:val="24"/>
        </w:rPr>
        <w:t xml:space="preserve"> (e.g., its uncertainties and prioritization guidance)</w:t>
      </w:r>
      <w:r w:rsidRPr="00F5535B">
        <w:rPr>
          <w:rFonts w:ascii="Times New Roman" w:hAnsi="Times New Roman" w:cs="Times New Roman"/>
          <w:sz w:val="24"/>
          <w:szCs w:val="24"/>
        </w:rPr>
        <w:t xml:space="preserve">, </w:t>
      </w:r>
      <w:r w:rsidR="00254BA7">
        <w:rPr>
          <w:rFonts w:ascii="Times New Roman" w:hAnsi="Times New Roman" w:cs="Times New Roman"/>
          <w:sz w:val="24"/>
          <w:szCs w:val="24"/>
        </w:rPr>
        <w:t xml:space="preserve">research activities </w:t>
      </w:r>
      <w:r w:rsidR="00254BA7" w:rsidRPr="00F5535B">
        <w:rPr>
          <w:rFonts w:ascii="Times New Roman" w:hAnsi="Times New Roman" w:cs="Times New Roman"/>
          <w:sz w:val="24"/>
          <w:szCs w:val="24"/>
        </w:rPr>
        <w:t>will clearly state their research question and alignment with the Council’s Research Plan and/or how its innovative research will contribute to the Program</w:t>
      </w:r>
      <w:r w:rsidR="00254BA7" w:rsidRPr="00F5535B">
        <w:rPr>
          <w:rStyle w:val="FootnoteReference"/>
          <w:vertAlign w:val="superscript"/>
        </w:rPr>
        <w:footnoteReference w:id="2"/>
      </w:r>
      <w:r w:rsidR="00254BA7" w:rsidRPr="00F5535B">
        <w:rPr>
          <w:rFonts w:ascii="Times New Roman" w:hAnsi="Times New Roman" w:cs="Times New Roman"/>
          <w:sz w:val="24"/>
          <w:szCs w:val="24"/>
        </w:rPr>
        <w:t>.</w:t>
      </w:r>
    </w:p>
    <w:p w:rsidR="00465EDC" w:rsidRPr="00F5535B" w:rsidRDefault="00465EDC" w:rsidP="00F5535B">
      <w:pPr>
        <w:pStyle w:val="ListParagraph"/>
        <w:ind w:left="0"/>
        <w:rPr>
          <w:u w:val="single"/>
        </w:rPr>
      </w:pPr>
      <w:r w:rsidRPr="00F5535B">
        <w:rPr>
          <w:u w:val="single"/>
        </w:rPr>
        <w:t xml:space="preserve">Determining the Appropriate Level of Effort </w:t>
      </w:r>
    </w:p>
    <w:p w:rsidR="00465EDC" w:rsidRDefault="00BF5E82" w:rsidP="00F553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465EDC" w:rsidRPr="00F5535B">
        <w:rPr>
          <w:rFonts w:ascii="Times New Roman" w:hAnsi="Times New Roman" w:cs="Times New Roman"/>
          <w:sz w:val="24"/>
          <w:szCs w:val="24"/>
        </w:rPr>
        <w:t>he Council will rely on a preponderance of evidence</w:t>
      </w:r>
      <w:r w:rsidR="00465EDC" w:rsidRPr="00F5535B">
        <w:rPr>
          <w:rStyle w:val="FootnoteReference"/>
          <w:vertAlign w:val="superscript"/>
        </w:rPr>
        <w:footnoteReference w:id="3"/>
      </w:r>
      <w:r w:rsidR="00465EDC" w:rsidRPr="00F5535B">
        <w:rPr>
          <w:rFonts w:ascii="Times New Roman" w:hAnsi="Times New Roman" w:cs="Times New Roman"/>
          <w:sz w:val="24"/>
          <w:szCs w:val="24"/>
          <w:vertAlign w:val="superscript"/>
        </w:rPr>
        <w:t xml:space="preserve"> </w:t>
      </w:r>
      <w:r w:rsidR="00465EDC" w:rsidRPr="00F5535B">
        <w:rPr>
          <w:rFonts w:ascii="Times New Roman" w:hAnsi="Times New Roman" w:cs="Times New Roman"/>
          <w:sz w:val="24"/>
          <w:szCs w:val="24"/>
        </w:rPr>
        <w:t>to base its decisions</w:t>
      </w:r>
      <w:r>
        <w:rPr>
          <w:rFonts w:ascii="Times New Roman" w:hAnsi="Times New Roman" w:cs="Times New Roman"/>
          <w:sz w:val="24"/>
          <w:szCs w:val="24"/>
        </w:rPr>
        <w:t xml:space="preserve"> when the </w:t>
      </w:r>
      <w:r w:rsidRPr="00F5535B">
        <w:rPr>
          <w:rFonts w:ascii="Times New Roman" w:hAnsi="Times New Roman" w:cs="Times New Roman"/>
          <w:sz w:val="24"/>
          <w:szCs w:val="24"/>
        </w:rPr>
        <w:t xml:space="preserve">95 percent level of certainty </w:t>
      </w:r>
      <w:r>
        <w:rPr>
          <w:rFonts w:ascii="Times New Roman" w:hAnsi="Times New Roman" w:cs="Times New Roman"/>
          <w:sz w:val="24"/>
          <w:szCs w:val="24"/>
        </w:rPr>
        <w:t xml:space="preserve">traditionally applied </w:t>
      </w:r>
      <w:r w:rsidRPr="00F5535B">
        <w:rPr>
          <w:rFonts w:ascii="Times New Roman" w:hAnsi="Times New Roman" w:cs="Times New Roman"/>
          <w:sz w:val="24"/>
          <w:szCs w:val="24"/>
        </w:rPr>
        <w:t>by</w:t>
      </w:r>
      <w:r>
        <w:rPr>
          <w:rFonts w:ascii="Times New Roman" w:hAnsi="Times New Roman" w:cs="Times New Roman"/>
          <w:sz w:val="24"/>
          <w:szCs w:val="24"/>
        </w:rPr>
        <w:t xml:space="preserve"> scientific investigators is not available.</w:t>
      </w:r>
    </w:p>
    <w:p w:rsidR="006940CD" w:rsidRPr="00F5535B" w:rsidRDefault="006940CD" w:rsidP="00F5535B">
      <w:pPr>
        <w:autoSpaceDE w:val="0"/>
        <w:autoSpaceDN w:val="0"/>
        <w:adjustRightInd w:val="0"/>
        <w:spacing w:after="0" w:line="240" w:lineRule="auto"/>
        <w:rPr>
          <w:rFonts w:ascii="Times New Roman" w:hAnsi="Times New Roman" w:cs="Times New Roman"/>
          <w:sz w:val="24"/>
          <w:szCs w:val="24"/>
        </w:rPr>
      </w:pPr>
    </w:p>
    <w:p w:rsidR="00D947E3" w:rsidRPr="00F5535B"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The intensity of monitoring associated with an action, environmental condition, and/or population characteristic will align with the perceived risk to fish, wildlife and habitat and the level of certainty associated with the impact of the actions, environmental conditions, and population characteristics.</w:t>
      </w:r>
      <w:r w:rsidR="00254BA7">
        <w:rPr>
          <w:rFonts w:ascii="Times New Roman" w:hAnsi="Times New Roman" w:cs="Times New Roman"/>
          <w:sz w:val="24"/>
          <w:szCs w:val="24"/>
        </w:rPr>
        <w:t xml:space="preserve"> This conceptual concept of how risk and uncertainty relates to each other and informs monitoring intensity is illustrated in t</w:t>
      </w:r>
      <w:r w:rsidRPr="00F5535B">
        <w:rPr>
          <w:rFonts w:ascii="Times New Roman" w:hAnsi="Times New Roman" w:cs="Times New Roman"/>
          <w:sz w:val="24"/>
          <w:szCs w:val="24"/>
        </w:rPr>
        <w:t xml:space="preserve">he risk-uncertainty matrix (Figure 1). The perceived level of risk pertains to the potential undesirable impact of a given action on, or of having an undesirable change in the biological status of, fish, wildlife, and habitat. The uncertainty level pertains to the certainty of outcome associated with a given action or a biological status based on the scientific support as described in the Council document </w:t>
      </w:r>
      <w:hyperlink r:id="rId14" w:history="1">
        <w:r w:rsidRPr="00F5535B">
          <w:rPr>
            <w:rStyle w:val="Hyperlink"/>
            <w:rFonts w:ascii="Times New Roman" w:hAnsi="Times New Roman"/>
            <w:sz w:val="24"/>
            <w:szCs w:val="24"/>
          </w:rPr>
          <w:t>2000-12</w:t>
        </w:r>
      </w:hyperlink>
      <w:r w:rsidRPr="00F5535B">
        <w:rPr>
          <w:rFonts w:ascii="Times New Roman" w:hAnsi="Times New Roman" w:cs="Times New Roman"/>
          <w:sz w:val="24"/>
          <w:szCs w:val="24"/>
        </w:rPr>
        <w:t xml:space="preserve"> with number 1 being the highest level of certainty:</w:t>
      </w:r>
    </w:p>
    <w:p w:rsidR="00D947E3" w:rsidRPr="00F5535B" w:rsidRDefault="00D947E3" w:rsidP="006940CD">
      <w:pPr>
        <w:pStyle w:val="ListParagraph"/>
        <w:numPr>
          <w:ilvl w:val="0"/>
          <w:numId w:val="1"/>
        </w:numPr>
        <w:ind w:left="360" w:hanging="180"/>
      </w:pPr>
      <w:r w:rsidRPr="00F5535B">
        <w:t>Thoroughly established, generally accepted, good peer-reviewed empirical evidence in its favor.</w:t>
      </w:r>
    </w:p>
    <w:p w:rsidR="00D947E3" w:rsidRPr="00F5535B" w:rsidRDefault="00D947E3" w:rsidP="006940CD">
      <w:pPr>
        <w:pStyle w:val="ListParagraph"/>
        <w:numPr>
          <w:ilvl w:val="0"/>
          <w:numId w:val="1"/>
        </w:numPr>
        <w:ind w:left="360" w:hanging="180"/>
      </w:pPr>
      <w:r w:rsidRPr="00F5535B">
        <w:t>Strong weight of evidence in support but not fully conclusive.</w:t>
      </w:r>
    </w:p>
    <w:p w:rsidR="00D947E3" w:rsidRPr="00F5535B" w:rsidRDefault="00D947E3" w:rsidP="006940CD">
      <w:pPr>
        <w:pStyle w:val="ListParagraph"/>
        <w:numPr>
          <w:ilvl w:val="0"/>
          <w:numId w:val="1"/>
        </w:numPr>
        <w:ind w:left="360" w:hanging="180"/>
      </w:pPr>
      <w:r w:rsidRPr="00F5535B">
        <w:t>Theoretical support with some evidence from experiments or observations.</w:t>
      </w:r>
    </w:p>
    <w:p w:rsidR="00D947E3" w:rsidRPr="00F5535B" w:rsidRDefault="00D947E3" w:rsidP="006940CD">
      <w:pPr>
        <w:pStyle w:val="ListParagraph"/>
        <w:numPr>
          <w:ilvl w:val="0"/>
          <w:numId w:val="1"/>
        </w:numPr>
        <w:ind w:left="360" w:hanging="180"/>
      </w:pPr>
      <w:r w:rsidRPr="00F5535B">
        <w:t>Speculative, little empirical support.</w:t>
      </w:r>
    </w:p>
    <w:p w:rsidR="00D947E3" w:rsidRPr="00F5535B" w:rsidRDefault="00D947E3" w:rsidP="006940CD">
      <w:pPr>
        <w:pStyle w:val="ListParagraph"/>
        <w:numPr>
          <w:ilvl w:val="0"/>
          <w:numId w:val="1"/>
        </w:numPr>
        <w:ind w:left="360" w:hanging="180"/>
      </w:pPr>
      <w:r w:rsidRPr="00F5535B">
        <w:lastRenderedPageBreak/>
        <w:t>Misleading or demonstrably wrong, based on good evidence to the contrary.</w:t>
      </w:r>
    </w:p>
    <w:p w:rsidR="00D947E3" w:rsidRPr="00F5535B" w:rsidRDefault="00D947E3" w:rsidP="00F5535B">
      <w:pPr>
        <w:pStyle w:val="ListParagraph"/>
        <w:ind w:left="0"/>
      </w:pPr>
    </w:p>
    <w:p w:rsidR="006940CD"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Actions associated as being riskier and less certain in their outcome are assigned a higher level of monitoring (more intense and/or longer in duration). For status and trend monitoring of species and their habitat, an increase in the perceived risk of having an undesirable change in the biological status with decreased certainty of a biological outcome results in a higher level of monitoring.</w:t>
      </w:r>
    </w:p>
    <w:p w:rsidR="00D947E3" w:rsidRPr="00F5535B"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 xml:space="preserve"> </w:t>
      </w:r>
    </w:p>
    <w:p w:rsidR="00D947E3" w:rsidRPr="00F5535B" w:rsidRDefault="00D947E3" w:rsidP="00F5535B">
      <w:pPr>
        <w:spacing w:after="0" w:line="240" w:lineRule="auto"/>
        <w:rPr>
          <w:rFonts w:ascii="Times New Roman" w:hAnsi="Times New Roman" w:cs="Times New Roman"/>
          <w:sz w:val="24"/>
          <w:szCs w:val="24"/>
        </w:rPr>
      </w:pPr>
    </w:p>
    <w:p w:rsidR="00D947E3" w:rsidRPr="00F5535B" w:rsidRDefault="00445172" w:rsidP="00F5535B">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026" style="position:absolute;margin-left:168.05pt;margin-top:6.45pt;width:108.5pt;height:103pt;z-index:251658238" coordorigin="961,6653" coordsize="2170,20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61;top:6653;width:2170;height:2060" o:preferrelative="f">
              <v:fill o:detectmouseclick="t"/>
              <v:path o:extrusionok="t" o:connecttype="none"/>
              <o:lock v:ext="edit" text="t"/>
            </v:shape>
            <v:rect id="_x0000_s1028" style="position:absolute;left:980;top:6770;width:358;height:244" fillcolor="#d8d8d8"/>
            <v:rect id="_x0000_s1029" style="position:absolute;left:980;top:7508;width:360;height:243" fillcolor="gray">
              <v:fill r:id="rId15" o:title="" type="pattern"/>
            </v:rect>
            <v:rect id="_x0000_s1030" style="position:absolute;left:961;top:8144;width:358;height:245" fillcolor="gray">
              <v:fill r:id="rId16" o:title="" type="pattern"/>
            </v:rect>
            <v:shapetype id="_x0000_t202" coordsize="21600,21600" o:spt="202" path="m,l,21600r21600,l21600,xe">
              <v:stroke joinstyle="miter"/>
              <v:path gradientshapeok="t" o:connecttype="rect"/>
            </v:shapetype>
            <v:shape id="_x0000_s1031" type="#_x0000_t202" style="position:absolute;left:1366;top:6653;width:1765;height:800" filled="f" stroked="f">
              <v:textbox style="mso-next-textbox:#_x0000_s1031">
                <w:txbxContent>
                  <w:p w:rsidR="00FF2862" w:rsidRPr="00362B08" w:rsidRDefault="00FF2862" w:rsidP="00D947E3">
                    <w:r>
                      <w:t>Lower level</w:t>
                    </w:r>
                  </w:p>
                </w:txbxContent>
              </v:textbox>
            </v:shape>
            <v:shape id="_x0000_s1032" type="#_x0000_t202" style="position:absolute;left:1351;top:7316;width:1763;height:721" filled="f" stroked="f">
              <v:textbox style="mso-next-textbox:#_x0000_s1032">
                <w:txbxContent>
                  <w:p w:rsidR="00FF2862" w:rsidRPr="00362B08" w:rsidRDefault="00FF2862" w:rsidP="00D947E3">
                    <w:r>
                      <w:t>Moderate</w:t>
                    </w:r>
                  </w:p>
                </w:txbxContent>
              </v:textbox>
            </v:shape>
            <v:shape id="_x0000_s1033" type="#_x0000_t202" style="position:absolute;left:1347;top:7999;width:1765;height:714" filled="f" stroked="f">
              <v:textbox style="mso-next-textbox:#_x0000_s1033">
                <w:txbxContent>
                  <w:p w:rsidR="00FF2862" w:rsidRPr="00362B08" w:rsidRDefault="00FF2862" w:rsidP="00D947E3">
                    <w:r w:rsidRPr="00362B08">
                      <w:t xml:space="preserve">Higher level </w:t>
                    </w:r>
                  </w:p>
                </w:txbxContent>
              </v:textbox>
            </v:shape>
          </v:group>
        </w:pict>
      </w:r>
      <w:r>
        <w:rPr>
          <w:rFonts w:ascii="Times New Roman" w:hAnsi="Times New Roman" w:cs="Times New Roman"/>
          <w:noProof/>
          <w:sz w:val="24"/>
          <w:szCs w:val="24"/>
        </w:rPr>
        <w:pict>
          <v:shape id="_x0000_s1034" type="#_x0000_t75" style="position:absolute;margin-left:-106.85pt;margin-top:-23.35pt;width:398.55pt;height:259pt;z-index:-251659267">
            <v:imagedata r:id="rId17" o:title="" croptop="4600f" cropleft="15162f"/>
            <w10:anchorlock/>
          </v:shape>
          <o:OLEObject Type="Embed" ProgID="Visio.Drawing.11" ShapeID="_x0000_s1034" DrawAspect="Content" ObjectID="_1423559772" r:id="rId18"/>
        </w:pict>
      </w:r>
    </w:p>
    <w:p w:rsidR="00D947E3" w:rsidRPr="00F5535B" w:rsidRDefault="00D947E3" w:rsidP="00F5535B">
      <w:pPr>
        <w:spacing w:after="0" w:line="240" w:lineRule="auto"/>
        <w:rPr>
          <w:rFonts w:ascii="Times New Roman" w:hAnsi="Times New Roman" w:cs="Times New Roman"/>
          <w:sz w:val="24"/>
          <w:szCs w:val="24"/>
        </w:rPr>
      </w:pPr>
    </w:p>
    <w:p w:rsidR="00D947E3" w:rsidRPr="00F5535B" w:rsidRDefault="00D947E3" w:rsidP="00F5535B">
      <w:pPr>
        <w:pStyle w:val="ListParagraph"/>
        <w:ind w:left="0"/>
      </w:pPr>
    </w:p>
    <w:p w:rsidR="00D947E3" w:rsidRPr="00F5535B" w:rsidRDefault="00D947E3" w:rsidP="00F5535B">
      <w:pPr>
        <w:pStyle w:val="ListParagraph"/>
        <w:ind w:left="0"/>
      </w:pPr>
    </w:p>
    <w:p w:rsidR="00D947E3" w:rsidRPr="00F5535B" w:rsidRDefault="00D947E3" w:rsidP="00F5535B">
      <w:pPr>
        <w:spacing w:after="0" w:line="240" w:lineRule="auto"/>
        <w:rPr>
          <w:rFonts w:ascii="Times New Roman" w:hAnsi="Times New Roman" w:cs="Times New Roman"/>
          <w:sz w:val="24"/>
          <w:szCs w:val="24"/>
        </w:rPr>
      </w:pPr>
    </w:p>
    <w:p w:rsidR="00D947E3" w:rsidRPr="00F5535B" w:rsidRDefault="00D947E3" w:rsidP="00F5535B">
      <w:pPr>
        <w:spacing w:after="0" w:line="240" w:lineRule="auto"/>
        <w:rPr>
          <w:rFonts w:ascii="Times New Roman" w:hAnsi="Times New Roman" w:cs="Times New Roman"/>
          <w:sz w:val="24"/>
          <w:szCs w:val="24"/>
        </w:rPr>
      </w:pPr>
    </w:p>
    <w:p w:rsidR="006940CD" w:rsidRDefault="006940CD" w:rsidP="00F5535B">
      <w:pPr>
        <w:spacing w:after="0" w:line="240" w:lineRule="auto"/>
        <w:rPr>
          <w:rFonts w:ascii="Times New Roman" w:hAnsi="Times New Roman" w:cs="Times New Roman"/>
          <w:b/>
          <w:bCs/>
          <w:sz w:val="24"/>
          <w:szCs w:val="24"/>
        </w:rPr>
      </w:pPr>
    </w:p>
    <w:p w:rsidR="006940CD" w:rsidRDefault="006940CD" w:rsidP="00F5535B">
      <w:pPr>
        <w:spacing w:after="0" w:line="240" w:lineRule="auto"/>
        <w:rPr>
          <w:rFonts w:ascii="Times New Roman" w:hAnsi="Times New Roman" w:cs="Times New Roman"/>
          <w:b/>
          <w:bCs/>
          <w:sz w:val="24"/>
          <w:szCs w:val="24"/>
        </w:rPr>
      </w:pPr>
    </w:p>
    <w:p w:rsidR="006940CD" w:rsidRDefault="006940CD" w:rsidP="00F5535B">
      <w:pPr>
        <w:spacing w:after="0" w:line="240" w:lineRule="auto"/>
        <w:rPr>
          <w:rFonts w:ascii="Times New Roman" w:hAnsi="Times New Roman" w:cs="Times New Roman"/>
          <w:b/>
          <w:bCs/>
          <w:sz w:val="24"/>
          <w:szCs w:val="24"/>
        </w:rPr>
      </w:pPr>
    </w:p>
    <w:p w:rsidR="00D947E3" w:rsidRPr="00F5535B"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b/>
          <w:bCs/>
          <w:sz w:val="24"/>
          <w:szCs w:val="24"/>
        </w:rPr>
        <w:t xml:space="preserve">Figure 1: </w:t>
      </w:r>
      <w:r w:rsidRPr="00F5535B">
        <w:rPr>
          <w:rFonts w:ascii="Times New Roman" w:hAnsi="Times New Roman" w:cs="Times New Roman"/>
          <w:sz w:val="24"/>
          <w:szCs w:val="24"/>
        </w:rPr>
        <w:t>Risk-uncertainty matrix guiding level of monitoring efforts for a given action (e.g., hatchery, hydrosystem, and habitat action), and biological status.</w:t>
      </w:r>
    </w:p>
    <w:p w:rsidR="006940CD" w:rsidRDefault="006940CD" w:rsidP="00F5535B">
      <w:pPr>
        <w:spacing w:after="0" w:line="240" w:lineRule="auto"/>
        <w:rPr>
          <w:rFonts w:ascii="Times New Roman" w:hAnsi="Times New Roman" w:cs="Times New Roman"/>
          <w:sz w:val="24"/>
          <w:szCs w:val="24"/>
        </w:rPr>
      </w:pPr>
    </w:p>
    <w:p w:rsidR="006940CD" w:rsidRPr="00F5535B" w:rsidRDefault="006940CD" w:rsidP="00F5535B">
      <w:pPr>
        <w:spacing w:after="0" w:line="240" w:lineRule="auto"/>
        <w:rPr>
          <w:rFonts w:ascii="Times New Roman" w:hAnsi="Times New Roman" w:cs="Times New Roman"/>
          <w:sz w:val="24"/>
          <w:szCs w:val="24"/>
        </w:rPr>
      </w:pPr>
    </w:p>
    <w:p w:rsidR="00465EDC" w:rsidRPr="00F5535B" w:rsidRDefault="00465EDC" w:rsidP="00F5535B">
      <w:pPr>
        <w:spacing w:after="0" w:line="240" w:lineRule="auto"/>
        <w:rPr>
          <w:rFonts w:ascii="Times New Roman" w:hAnsi="Times New Roman" w:cs="Times New Roman"/>
          <w:sz w:val="24"/>
          <w:szCs w:val="24"/>
          <w:u w:val="single"/>
        </w:rPr>
      </w:pPr>
      <w:r w:rsidRPr="00F5535B">
        <w:rPr>
          <w:rFonts w:ascii="Times New Roman" w:hAnsi="Times New Roman" w:cs="Times New Roman"/>
          <w:sz w:val="24"/>
          <w:szCs w:val="24"/>
          <w:u w:val="single"/>
        </w:rPr>
        <w:t>Monitoring Approach</w:t>
      </w:r>
    </w:p>
    <w:p w:rsidR="00465EDC" w:rsidRDefault="00465EDC"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Monitoring activities</w:t>
      </w:r>
      <w:r w:rsidR="005C71EF">
        <w:rPr>
          <w:rFonts w:ascii="Times New Roman" w:hAnsi="Times New Roman" w:cs="Times New Roman"/>
          <w:sz w:val="24"/>
          <w:szCs w:val="24"/>
        </w:rPr>
        <w:t xml:space="preserve"> assessing </w:t>
      </w:r>
      <w:r w:rsidR="005C71EF" w:rsidRPr="00F5535B">
        <w:rPr>
          <w:rFonts w:ascii="Times New Roman" w:hAnsi="Times New Roman" w:cs="Times New Roman"/>
          <w:sz w:val="24"/>
          <w:szCs w:val="24"/>
        </w:rPr>
        <w:t>actions, environmental conditions, and/or population characteristics</w:t>
      </w:r>
      <w:r w:rsidR="005C71EF">
        <w:rPr>
          <w:rFonts w:ascii="Times New Roman" w:hAnsi="Times New Roman" w:cs="Times New Roman"/>
          <w:sz w:val="24"/>
          <w:szCs w:val="24"/>
        </w:rPr>
        <w:t>,</w:t>
      </w:r>
      <w:r w:rsidRPr="00F5535B">
        <w:rPr>
          <w:rFonts w:ascii="Times New Roman" w:hAnsi="Times New Roman" w:cs="Times New Roman"/>
          <w:sz w:val="24"/>
          <w:szCs w:val="24"/>
        </w:rPr>
        <w:t xml:space="preserve"> need to be clearly aligned with objectives and hypothesis</w:t>
      </w:r>
      <w:r w:rsidR="005C71EF">
        <w:rPr>
          <w:rFonts w:ascii="Times New Roman" w:hAnsi="Times New Roman" w:cs="Times New Roman"/>
          <w:sz w:val="24"/>
          <w:szCs w:val="24"/>
        </w:rPr>
        <w:t xml:space="preserve">. Findings </w:t>
      </w:r>
      <w:r w:rsidR="005C71EF" w:rsidRPr="00F5535B">
        <w:rPr>
          <w:rFonts w:ascii="Times New Roman" w:hAnsi="Times New Roman" w:cs="Times New Roman"/>
          <w:sz w:val="24"/>
          <w:szCs w:val="24"/>
        </w:rPr>
        <w:t>on progress made and implication</w:t>
      </w:r>
      <w:r w:rsidR="005C71EF">
        <w:rPr>
          <w:rFonts w:ascii="Times New Roman" w:hAnsi="Times New Roman" w:cs="Times New Roman"/>
          <w:sz w:val="24"/>
          <w:szCs w:val="24"/>
        </w:rPr>
        <w:t xml:space="preserve"> for fish and wildlife need to be reported </w:t>
      </w:r>
      <w:r w:rsidRPr="00F5535B">
        <w:rPr>
          <w:rFonts w:ascii="Times New Roman" w:hAnsi="Times New Roman" w:cs="Times New Roman"/>
          <w:sz w:val="24"/>
          <w:szCs w:val="24"/>
        </w:rPr>
        <w:t>regularly</w:t>
      </w:r>
      <w:r w:rsidR="005C71EF">
        <w:rPr>
          <w:rFonts w:ascii="Times New Roman" w:hAnsi="Times New Roman" w:cs="Times New Roman"/>
          <w:sz w:val="24"/>
          <w:szCs w:val="24"/>
        </w:rPr>
        <w:t>.</w:t>
      </w:r>
    </w:p>
    <w:p w:rsidR="00E835F3" w:rsidRPr="00F5535B" w:rsidRDefault="00E835F3" w:rsidP="00F5535B">
      <w:pPr>
        <w:spacing w:after="0" w:line="240" w:lineRule="auto"/>
        <w:rPr>
          <w:rFonts w:ascii="Times New Roman" w:hAnsi="Times New Roman" w:cs="Times New Roman"/>
          <w:sz w:val="24"/>
          <w:szCs w:val="24"/>
        </w:rPr>
      </w:pPr>
    </w:p>
    <w:p w:rsidR="00372366"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The Program funds three types of monitoring that are employed depending on the question posed</w:t>
      </w:r>
      <w:r w:rsidR="00372366">
        <w:rPr>
          <w:rFonts w:ascii="Times New Roman" w:hAnsi="Times New Roman" w:cs="Times New Roman"/>
          <w:sz w:val="24"/>
          <w:szCs w:val="24"/>
        </w:rPr>
        <w:t>:</w:t>
      </w:r>
    </w:p>
    <w:p w:rsidR="00372366" w:rsidRDefault="00372366" w:rsidP="00F5535B">
      <w:pPr>
        <w:spacing w:after="0" w:line="240" w:lineRule="auto"/>
        <w:rPr>
          <w:rFonts w:ascii="Times New Roman" w:hAnsi="Times New Roman" w:cs="Times New Roman"/>
          <w:sz w:val="24"/>
          <w:szCs w:val="24"/>
        </w:rPr>
      </w:pPr>
    </w:p>
    <w:p w:rsidR="00372366" w:rsidRDefault="00D947E3" w:rsidP="00F5535B">
      <w:pPr>
        <w:spacing w:after="0" w:line="240" w:lineRule="auto"/>
        <w:rPr>
          <w:rFonts w:ascii="Times New Roman" w:hAnsi="Times New Roman" w:cs="Times New Roman"/>
          <w:sz w:val="24"/>
          <w:szCs w:val="24"/>
        </w:rPr>
      </w:pPr>
      <w:r w:rsidRPr="005C71EF">
        <w:rPr>
          <w:rFonts w:ascii="Times New Roman" w:hAnsi="Times New Roman" w:cs="Times New Roman"/>
          <w:i/>
          <w:sz w:val="24"/>
          <w:szCs w:val="24"/>
        </w:rPr>
        <w:t>Implementation and Compliance Monitoring</w:t>
      </w:r>
      <w:r w:rsidRPr="00F5535B">
        <w:rPr>
          <w:rFonts w:ascii="Times New Roman" w:hAnsi="Times New Roman" w:cs="Times New Roman"/>
          <w:sz w:val="24"/>
          <w:szCs w:val="24"/>
        </w:rPr>
        <w:t xml:space="preserve"> is used to assess if actions and projects were implemented according to contractual agreement, appropriate design requirements </w:t>
      </w:r>
      <w:r w:rsidRPr="00F5535B">
        <w:rPr>
          <w:rFonts w:ascii="Times New Roman" w:hAnsi="Times New Roman" w:cs="Times New Roman"/>
          <w:sz w:val="24"/>
          <w:szCs w:val="24"/>
        </w:rPr>
        <w:lastRenderedPageBreak/>
        <w:t xml:space="preserve">and standards, and when relevant, whether it achieved its assumed functional lifespan. </w:t>
      </w:r>
      <w:r w:rsidR="00372366">
        <w:rPr>
          <w:rFonts w:ascii="Times New Roman" w:hAnsi="Times New Roman" w:cs="Times New Roman"/>
          <w:sz w:val="24"/>
          <w:szCs w:val="24"/>
        </w:rPr>
        <w:t>All work funded under th</w:t>
      </w:r>
      <w:r w:rsidR="00B762D6">
        <w:rPr>
          <w:rFonts w:ascii="Times New Roman" w:hAnsi="Times New Roman" w:cs="Times New Roman"/>
          <w:sz w:val="24"/>
          <w:szCs w:val="24"/>
        </w:rPr>
        <w:t>e</w:t>
      </w:r>
      <w:r w:rsidR="00372366">
        <w:rPr>
          <w:rFonts w:ascii="Times New Roman" w:hAnsi="Times New Roman" w:cs="Times New Roman"/>
          <w:sz w:val="24"/>
          <w:szCs w:val="24"/>
        </w:rPr>
        <w:t xml:space="preserve"> Program must provide this level of monitoring.</w:t>
      </w:r>
    </w:p>
    <w:p w:rsidR="00372366" w:rsidRDefault="00372366" w:rsidP="00F5535B">
      <w:pPr>
        <w:spacing w:after="0" w:line="240" w:lineRule="auto"/>
        <w:rPr>
          <w:rFonts w:ascii="Times New Roman" w:hAnsi="Times New Roman" w:cs="Times New Roman"/>
          <w:sz w:val="24"/>
          <w:szCs w:val="24"/>
        </w:rPr>
      </w:pPr>
    </w:p>
    <w:p w:rsidR="00372366"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 xml:space="preserve">To assess status over time of fish, wildlife and habitat that informs Program evaluation and reporting needs, the Program relies on data gathered through </w:t>
      </w:r>
      <w:r w:rsidRPr="005C71EF">
        <w:rPr>
          <w:rFonts w:ascii="Times New Roman" w:hAnsi="Times New Roman" w:cs="Times New Roman"/>
          <w:i/>
          <w:sz w:val="24"/>
          <w:szCs w:val="24"/>
        </w:rPr>
        <w:t>Status and Trend Monitoring</w:t>
      </w:r>
      <w:r w:rsidRPr="00F5535B">
        <w:rPr>
          <w:rFonts w:ascii="Times New Roman" w:hAnsi="Times New Roman" w:cs="Times New Roman"/>
          <w:sz w:val="24"/>
          <w:szCs w:val="24"/>
        </w:rPr>
        <w:t xml:space="preserve">. </w:t>
      </w:r>
    </w:p>
    <w:p w:rsidR="00372366" w:rsidRDefault="00372366" w:rsidP="00F5535B">
      <w:pPr>
        <w:spacing w:after="0" w:line="240" w:lineRule="auto"/>
        <w:rPr>
          <w:rFonts w:ascii="Times New Roman" w:hAnsi="Times New Roman" w:cs="Times New Roman"/>
          <w:sz w:val="24"/>
          <w:szCs w:val="24"/>
        </w:rPr>
      </w:pPr>
    </w:p>
    <w:p w:rsidR="00D947E3" w:rsidRPr="00F5535B" w:rsidRDefault="00D947E3" w:rsidP="00F5535B">
      <w:pPr>
        <w:spacing w:after="0" w:line="240" w:lineRule="auto"/>
        <w:rPr>
          <w:rFonts w:ascii="Times New Roman" w:hAnsi="Times New Roman" w:cs="Times New Roman"/>
          <w:sz w:val="24"/>
          <w:szCs w:val="24"/>
        </w:rPr>
      </w:pPr>
      <w:r w:rsidRPr="00F5535B">
        <w:rPr>
          <w:rFonts w:ascii="Times New Roman" w:hAnsi="Times New Roman" w:cs="Times New Roman"/>
          <w:sz w:val="24"/>
          <w:szCs w:val="24"/>
        </w:rPr>
        <w:t xml:space="preserve">To determine, by correlation or causation, if a Program funded action achieved the intended detectable change in environmental conditions or population characteristics the Program relies on </w:t>
      </w:r>
      <w:r w:rsidRPr="005C71EF">
        <w:rPr>
          <w:rFonts w:ascii="Times New Roman" w:hAnsi="Times New Roman" w:cs="Times New Roman"/>
          <w:i/>
          <w:sz w:val="24"/>
          <w:szCs w:val="24"/>
        </w:rPr>
        <w:t>Effectiveness Monitoring</w:t>
      </w:r>
      <w:r w:rsidRPr="00F5535B">
        <w:rPr>
          <w:rFonts w:ascii="Times New Roman" w:hAnsi="Times New Roman" w:cs="Times New Roman"/>
          <w:sz w:val="24"/>
          <w:szCs w:val="24"/>
        </w:rPr>
        <w:t>.</w:t>
      </w:r>
    </w:p>
    <w:p w:rsidR="00465EDC" w:rsidRDefault="00465EDC" w:rsidP="00F5535B">
      <w:pPr>
        <w:pStyle w:val="ListParagraph"/>
        <w:ind w:left="0"/>
      </w:pPr>
    </w:p>
    <w:p w:rsidR="006940CD" w:rsidRPr="00F5535B" w:rsidRDefault="006940CD" w:rsidP="00F5535B">
      <w:pPr>
        <w:pStyle w:val="ListParagraph"/>
        <w:ind w:left="0"/>
      </w:pPr>
    </w:p>
    <w:p w:rsidR="00465EDC" w:rsidRPr="00F5535B" w:rsidRDefault="00465EDC" w:rsidP="00F5535B">
      <w:pPr>
        <w:pStyle w:val="ListParagraph"/>
        <w:ind w:left="0"/>
        <w:rPr>
          <w:u w:val="single"/>
        </w:rPr>
      </w:pPr>
      <w:r w:rsidRPr="00F5535B">
        <w:rPr>
          <w:u w:val="single"/>
        </w:rPr>
        <w:t>Research Approach</w:t>
      </w:r>
    </w:p>
    <w:p w:rsidR="00465EDC" w:rsidRDefault="00B762D6" w:rsidP="00F5535B">
      <w:pPr>
        <w:spacing w:after="0" w:line="240" w:lineRule="auto"/>
        <w:rPr>
          <w:rFonts w:ascii="Times New Roman" w:hAnsi="Times New Roman" w:cs="Times New Roman"/>
          <w:sz w:val="24"/>
          <w:szCs w:val="24"/>
        </w:rPr>
      </w:pPr>
      <w:r>
        <w:rPr>
          <w:rFonts w:ascii="Times New Roman" w:hAnsi="Times New Roman" w:cs="Times New Roman"/>
          <w:sz w:val="24"/>
          <w:szCs w:val="24"/>
        </w:rPr>
        <w:t>The Program s</w:t>
      </w:r>
      <w:r w:rsidR="00465EDC" w:rsidRPr="00F5535B">
        <w:rPr>
          <w:rFonts w:ascii="Times New Roman" w:hAnsi="Times New Roman" w:cs="Times New Roman"/>
          <w:sz w:val="24"/>
          <w:szCs w:val="24"/>
        </w:rPr>
        <w:t xml:space="preserve">upport research activities that inform uncertainties </w:t>
      </w:r>
      <w:r>
        <w:rPr>
          <w:rFonts w:ascii="Times New Roman" w:hAnsi="Times New Roman" w:cs="Times New Roman"/>
          <w:sz w:val="24"/>
          <w:szCs w:val="24"/>
        </w:rPr>
        <w:t xml:space="preserve">and provide innovative tools/approaches </w:t>
      </w:r>
      <w:r w:rsidR="00465EDC" w:rsidRPr="00F5535B">
        <w:rPr>
          <w:rFonts w:ascii="Times New Roman" w:hAnsi="Times New Roman" w:cs="Times New Roman"/>
          <w:sz w:val="24"/>
          <w:szCs w:val="24"/>
        </w:rPr>
        <w:t>that may enhance the success of the Program’s mitigation efforts.</w:t>
      </w:r>
    </w:p>
    <w:p w:rsidR="00B762D6" w:rsidRDefault="00B762D6" w:rsidP="00F5535B">
      <w:pPr>
        <w:spacing w:after="0" w:line="240" w:lineRule="auto"/>
        <w:rPr>
          <w:rFonts w:ascii="Times New Roman" w:hAnsi="Times New Roman" w:cs="Times New Roman"/>
          <w:sz w:val="24"/>
          <w:szCs w:val="24"/>
        </w:rPr>
      </w:pPr>
    </w:p>
    <w:p w:rsidR="00B762D6" w:rsidRPr="00B762D6" w:rsidRDefault="00B762D6" w:rsidP="00F5535B">
      <w:pPr>
        <w:spacing w:after="0" w:line="240" w:lineRule="auto"/>
        <w:rPr>
          <w:rFonts w:ascii="Times New Roman" w:hAnsi="Times New Roman" w:cs="Times New Roman"/>
          <w:sz w:val="24"/>
          <w:szCs w:val="24"/>
        </w:rPr>
      </w:pPr>
      <w:r w:rsidRPr="00B762D6">
        <w:rPr>
          <w:rFonts w:ascii="Times New Roman" w:hAnsi="Times New Roman" w:cs="Times New Roman"/>
          <w:sz w:val="24"/>
          <w:szCs w:val="24"/>
        </w:rPr>
        <w:t>Critical research uncertainties are questions concerning the validity of key assumptions implied or stated in the Program.</w:t>
      </w:r>
    </w:p>
    <w:p w:rsidR="00B762D6" w:rsidRPr="00B762D6" w:rsidRDefault="00B762D6" w:rsidP="00F5535B">
      <w:pPr>
        <w:spacing w:after="0" w:line="240" w:lineRule="auto"/>
        <w:rPr>
          <w:rFonts w:ascii="Times New Roman" w:hAnsi="Times New Roman" w:cs="Times New Roman"/>
          <w:sz w:val="24"/>
          <w:szCs w:val="24"/>
        </w:rPr>
      </w:pPr>
    </w:p>
    <w:p w:rsidR="00B762D6" w:rsidRPr="00F5535B" w:rsidRDefault="00B762D6" w:rsidP="00F5535B">
      <w:pPr>
        <w:spacing w:after="0" w:line="240" w:lineRule="auto"/>
        <w:rPr>
          <w:rFonts w:ascii="Times New Roman" w:hAnsi="Times New Roman" w:cs="Times New Roman"/>
          <w:sz w:val="24"/>
          <w:szCs w:val="24"/>
        </w:rPr>
      </w:pPr>
      <w:r w:rsidRPr="00B762D6">
        <w:rPr>
          <w:rFonts w:ascii="Times New Roman" w:hAnsi="Times New Roman" w:cs="Times New Roman"/>
          <w:sz w:val="24"/>
          <w:szCs w:val="24"/>
        </w:rPr>
        <w:t>Innovative research activities assess new methods and technologies that may enhance the efficiency and effectiveness of the Program’s implementation.</w:t>
      </w:r>
    </w:p>
    <w:p w:rsidR="006940CD" w:rsidRPr="00F5535B" w:rsidRDefault="006940CD" w:rsidP="00F5535B">
      <w:pPr>
        <w:autoSpaceDE w:val="0"/>
        <w:autoSpaceDN w:val="0"/>
        <w:adjustRightInd w:val="0"/>
        <w:spacing w:after="0" w:line="240" w:lineRule="auto"/>
        <w:rPr>
          <w:rFonts w:ascii="Times New Roman" w:hAnsi="Times New Roman" w:cs="Times New Roman"/>
          <w:sz w:val="24"/>
          <w:szCs w:val="24"/>
        </w:rPr>
      </w:pPr>
    </w:p>
    <w:p w:rsidR="0096173D" w:rsidRDefault="0096173D" w:rsidP="00F5535B">
      <w:pPr>
        <w:autoSpaceDE w:val="0"/>
        <w:autoSpaceDN w:val="0"/>
        <w:adjustRightInd w:val="0"/>
        <w:spacing w:after="0" w:line="240" w:lineRule="auto"/>
        <w:rPr>
          <w:rFonts w:ascii="Times New Roman" w:hAnsi="Times New Roman" w:cs="Times New Roman"/>
          <w:sz w:val="24"/>
          <w:szCs w:val="24"/>
        </w:rPr>
      </w:pPr>
      <w:r w:rsidRPr="00F5535B">
        <w:rPr>
          <w:rFonts w:ascii="Times New Roman" w:hAnsi="Times New Roman" w:cs="Times New Roman"/>
          <w:sz w:val="24"/>
          <w:szCs w:val="24"/>
        </w:rPr>
        <w:t xml:space="preserve">A research activity must be feasible to be accomplished given existing constraints both in terms of cost and logistics. </w:t>
      </w:r>
    </w:p>
    <w:p w:rsidR="004D62F8" w:rsidRDefault="004D62F8" w:rsidP="00F5535B">
      <w:pPr>
        <w:autoSpaceDE w:val="0"/>
        <w:autoSpaceDN w:val="0"/>
        <w:adjustRightInd w:val="0"/>
        <w:spacing w:after="0" w:line="240" w:lineRule="auto"/>
        <w:rPr>
          <w:rFonts w:ascii="Times New Roman" w:hAnsi="Times New Roman" w:cs="Times New Roman"/>
          <w:sz w:val="24"/>
          <w:szCs w:val="24"/>
        </w:rPr>
      </w:pPr>
    </w:p>
    <w:p w:rsidR="004D62F8" w:rsidRDefault="004D62F8" w:rsidP="00F5535B">
      <w:pPr>
        <w:autoSpaceDE w:val="0"/>
        <w:autoSpaceDN w:val="0"/>
        <w:adjustRightInd w:val="0"/>
        <w:spacing w:after="0" w:line="240" w:lineRule="auto"/>
        <w:rPr>
          <w:rFonts w:ascii="Times New Roman" w:hAnsi="Times New Roman" w:cs="Times New Roman"/>
          <w:sz w:val="24"/>
          <w:szCs w:val="24"/>
        </w:rPr>
      </w:pPr>
      <w:r w:rsidRPr="004D62F8">
        <w:rPr>
          <w:rFonts w:ascii="Times New Roman" w:hAnsi="Times New Roman" w:cs="Times New Roman"/>
          <w:sz w:val="24"/>
          <w:szCs w:val="24"/>
        </w:rPr>
        <w:t>Research activities should occur within a time span that will allow evaluation of their results and produce findings in time to inform upcoming Program amendment cycles</w:t>
      </w:r>
      <w:r>
        <w:rPr>
          <w:rFonts w:ascii="Times New Roman" w:hAnsi="Times New Roman" w:cs="Times New Roman"/>
          <w:sz w:val="24"/>
          <w:szCs w:val="24"/>
        </w:rPr>
        <w:t>.</w:t>
      </w:r>
    </w:p>
    <w:p w:rsidR="00372366" w:rsidRPr="00F5535B" w:rsidRDefault="00372366" w:rsidP="00F5535B">
      <w:pPr>
        <w:autoSpaceDE w:val="0"/>
        <w:autoSpaceDN w:val="0"/>
        <w:adjustRightInd w:val="0"/>
        <w:spacing w:after="0" w:line="240" w:lineRule="auto"/>
        <w:rPr>
          <w:rFonts w:ascii="Times New Roman" w:hAnsi="Times New Roman" w:cs="Times New Roman"/>
          <w:sz w:val="24"/>
          <w:szCs w:val="24"/>
        </w:rPr>
      </w:pPr>
    </w:p>
    <w:sectPr w:rsidR="00372366" w:rsidRPr="00F5535B" w:rsidSect="00AA5FC3">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62" w:rsidRDefault="00FF2862" w:rsidP="00465EDC">
      <w:pPr>
        <w:spacing w:after="0" w:line="240" w:lineRule="auto"/>
      </w:pPr>
      <w:r>
        <w:separator/>
      </w:r>
    </w:p>
  </w:endnote>
  <w:endnote w:type="continuationSeparator" w:id="0">
    <w:p w:rsidR="00FF2862" w:rsidRDefault="00FF2862" w:rsidP="0046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AD" w:rsidRDefault="009A12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45312"/>
      <w:docPartObj>
        <w:docPartGallery w:val="Page Numbers (Bottom of Page)"/>
        <w:docPartUnique/>
      </w:docPartObj>
    </w:sdtPr>
    <w:sdtContent>
      <w:p w:rsidR="00FF2862" w:rsidRDefault="00445172">
        <w:pPr>
          <w:pStyle w:val="Footer"/>
          <w:jc w:val="center"/>
        </w:pPr>
        <w:fldSimple w:instr=" PAGE   \* MERGEFORMAT ">
          <w:r w:rsidR="009A12AD">
            <w:rPr>
              <w:noProof/>
            </w:rPr>
            <w:t>1</w:t>
          </w:r>
        </w:fldSimple>
      </w:p>
    </w:sdtContent>
  </w:sdt>
  <w:p w:rsidR="00FF2862" w:rsidRDefault="00FF28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AD" w:rsidRDefault="009A1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62" w:rsidRDefault="00FF2862" w:rsidP="00465EDC">
      <w:pPr>
        <w:spacing w:after="0" w:line="240" w:lineRule="auto"/>
      </w:pPr>
      <w:r>
        <w:separator/>
      </w:r>
    </w:p>
  </w:footnote>
  <w:footnote w:type="continuationSeparator" w:id="0">
    <w:p w:rsidR="00FF2862" w:rsidRDefault="00FF2862" w:rsidP="00465EDC">
      <w:pPr>
        <w:spacing w:after="0" w:line="240" w:lineRule="auto"/>
      </w:pPr>
      <w:r>
        <w:continuationSeparator/>
      </w:r>
    </w:p>
  </w:footnote>
  <w:footnote w:id="1">
    <w:p w:rsidR="00FF2862" w:rsidRPr="006940CD" w:rsidRDefault="00FF2862" w:rsidP="006940CD">
      <w:pPr>
        <w:autoSpaceDE w:val="0"/>
        <w:autoSpaceDN w:val="0"/>
        <w:adjustRightInd w:val="0"/>
        <w:spacing w:line="240" w:lineRule="auto"/>
        <w:rPr>
          <w:rFonts w:ascii="Times New Roman" w:hAnsi="Times New Roman" w:cs="Times New Roman"/>
          <w:sz w:val="20"/>
          <w:szCs w:val="20"/>
        </w:rPr>
      </w:pPr>
      <w:r w:rsidRPr="006940CD">
        <w:rPr>
          <w:rFonts w:ascii="Times New Roman" w:hAnsi="Times New Roman" w:cs="Times New Roman"/>
          <w:sz w:val="20"/>
          <w:szCs w:val="20"/>
        </w:rPr>
        <w:footnoteRef/>
      </w:r>
      <w:r w:rsidRPr="006940CD">
        <w:rPr>
          <w:rFonts w:ascii="Times New Roman" w:hAnsi="Times New Roman" w:cs="Times New Roman"/>
          <w:sz w:val="20"/>
          <w:szCs w:val="20"/>
        </w:rPr>
        <w:t xml:space="preserve"> Implementation of a structured decision process (see ISRP documents 2011-25 and 2008-4; ISAB document 2003-2) provides transparency of the assumptions and information used to refine priorities. </w:t>
      </w:r>
    </w:p>
  </w:footnote>
  <w:footnote w:id="2">
    <w:p w:rsidR="00FF2862" w:rsidRPr="00FC31D0" w:rsidRDefault="00FF2862" w:rsidP="00254BA7">
      <w:pPr>
        <w:pStyle w:val="FootnoteText"/>
      </w:pPr>
      <w:r w:rsidRPr="006940CD">
        <w:rPr>
          <w:rStyle w:val="FootnoteReference"/>
          <w:sz w:val="20"/>
          <w:szCs w:val="20"/>
        </w:rPr>
        <w:footnoteRef/>
      </w:r>
      <w:r w:rsidRPr="006940CD">
        <w:t xml:space="preserve"> See the 2011-06 Council recommendation in section one “Reporting and Use of Project and Program results” and in section six “Research Projects in General” for more details (http://www.nwcouncil.org/library/report.asp?docid=286)</w:t>
      </w:r>
    </w:p>
  </w:footnote>
  <w:footnote w:id="3">
    <w:p w:rsidR="00FF2862" w:rsidRDefault="00FF2862" w:rsidP="00465EDC">
      <w:pPr>
        <w:pStyle w:val="Footer"/>
      </w:pPr>
      <w:r w:rsidRPr="00E3668D">
        <w:rPr>
          <w:sz w:val="20"/>
          <w:szCs w:val="20"/>
        </w:rPr>
        <w:footnoteRef/>
      </w:r>
      <w:r w:rsidRPr="00E3668D">
        <w:rPr>
          <w:sz w:val="20"/>
          <w:szCs w:val="20"/>
        </w:rPr>
        <w:t xml:space="preserve"> Preponderance of evidence relates to the legal term described as: the greater weight of the evidence required in a civil (non-criminal) lawsuit for the </w:t>
      </w:r>
      <w:proofErr w:type="spellStart"/>
      <w:r w:rsidRPr="00E3668D">
        <w:rPr>
          <w:sz w:val="20"/>
          <w:szCs w:val="20"/>
        </w:rPr>
        <w:t>trier</w:t>
      </w:r>
      <w:proofErr w:type="spellEnd"/>
      <w:r w:rsidRPr="00E3668D">
        <w:rPr>
          <w:sz w:val="20"/>
          <w:szCs w:val="20"/>
        </w:rPr>
        <w:t xml:space="preserve"> of fact (jury or judge without a jury) to decide in favor of one side or the other. This preponderance is based on the more convincing evidence and its probable truth or accuracy, and not on the amount of evidence (Source Law.Com).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AD" w:rsidRDefault="009A12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721405"/>
      <w:docPartObj>
        <w:docPartGallery w:val="Watermarks"/>
        <w:docPartUnique/>
      </w:docPartObj>
    </w:sdtPr>
    <w:sdtContent>
      <w:p w:rsidR="009A12AD" w:rsidRDefault="009A12A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AD" w:rsidRDefault="009A12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FD56A"/>
    <w:multiLevelType w:val="hybridMultilevel"/>
    <w:tmpl w:val="BF6FD216"/>
    <w:lvl w:ilvl="0" w:tplc="00000000">
      <w:start w:val="1"/>
      <w:numFmt w:val="decimal"/>
      <w:suff w:val="nothing"/>
      <w:lvlText w:val=""/>
      <w:lvlJc w:val="left"/>
      <w:rPr>
        <w:rFonts w:cs="Times New Roman"/>
      </w:rPr>
    </w:lvl>
    <w:lvl w:ilvl="1" w:tplc="00000000">
      <w:numFmt w:val="decimal"/>
      <w:lvlText w:val=""/>
      <w:lvlJc w:val="left"/>
      <w:rPr>
        <w:rFonts w:cs="Times New Roman"/>
      </w:rPr>
    </w:lvl>
    <w:lvl w:ilvl="2" w:tplc="00000000">
      <w:numFmt w:val="decimal"/>
      <w:lvlText w:val=""/>
      <w:lvlJc w:val="left"/>
      <w:rPr>
        <w:rFonts w:cs="Times New Roman"/>
      </w:rPr>
    </w:lvl>
    <w:lvl w:ilvl="3" w:tplc="00000000">
      <w:numFmt w:val="decimal"/>
      <w:lvlText w:val=""/>
      <w:lvlJc w:val="left"/>
      <w:rPr>
        <w:rFonts w:cs="Times New Roman"/>
      </w:rPr>
    </w:lvl>
    <w:lvl w:ilvl="4" w:tplc="00000000">
      <w:numFmt w:val="decimal"/>
      <w:lvlText w:val=""/>
      <w:lvlJc w:val="left"/>
      <w:rPr>
        <w:rFonts w:cs="Times New Roman"/>
      </w:rPr>
    </w:lvl>
    <w:lvl w:ilvl="5" w:tplc="00000000">
      <w:numFmt w:val="decimal"/>
      <w:lvlText w:val=""/>
      <w:lvlJc w:val="left"/>
      <w:rPr>
        <w:rFonts w:cs="Times New Roman"/>
      </w:rPr>
    </w:lvl>
    <w:lvl w:ilvl="6" w:tplc="00000000">
      <w:numFmt w:val="decimal"/>
      <w:lvlText w:val=""/>
      <w:lvlJc w:val="left"/>
      <w:rPr>
        <w:rFonts w:cs="Times New Roman"/>
      </w:rPr>
    </w:lvl>
    <w:lvl w:ilvl="7" w:tplc="00000000">
      <w:numFmt w:val="decimal"/>
      <w:lvlText w:val=""/>
      <w:lvlJc w:val="left"/>
      <w:rPr>
        <w:rFonts w:cs="Times New Roman"/>
      </w:rPr>
    </w:lvl>
    <w:lvl w:ilvl="8" w:tplc="00000000">
      <w:numFmt w:val="decimal"/>
      <w:lvlText w:val=""/>
      <w:lvlJc w:val="left"/>
      <w:rPr>
        <w:rFonts w:cs="Times New Roman"/>
      </w:rPr>
    </w:lvl>
  </w:abstractNum>
  <w:abstractNum w:abstractNumId="1">
    <w:nsid w:val="01787F5E"/>
    <w:multiLevelType w:val="hybridMultilevel"/>
    <w:tmpl w:val="144C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66E02"/>
    <w:multiLevelType w:val="hybridMultilevel"/>
    <w:tmpl w:val="3904A052"/>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3">
    <w:nsid w:val="408204CB"/>
    <w:multiLevelType w:val="hybridMultilevel"/>
    <w:tmpl w:val="3EC0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B5F41"/>
    <w:rsid w:val="00025A18"/>
    <w:rsid w:val="000370D2"/>
    <w:rsid w:val="000C2732"/>
    <w:rsid w:val="00252FD0"/>
    <w:rsid w:val="00254BA7"/>
    <w:rsid w:val="002961F5"/>
    <w:rsid w:val="002D53E0"/>
    <w:rsid w:val="002F67E5"/>
    <w:rsid w:val="00324667"/>
    <w:rsid w:val="00361A5A"/>
    <w:rsid w:val="00367968"/>
    <w:rsid w:val="00372366"/>
    <w:rsid w:val="003B530F"/>
    <w:rsid w:val="0041223F"/>
    <w:rsid w:val="0041757D"/>
    <w:rsid w:val="00445172"/>
    <w:rsid w:val="00453131"/>
    <w:rsid w:val="00461123"/>
    <w:rsid w:val="00465EDC"/>
    <w:rsid w:val="004D62F8"/>
    <w:rsid w:val="00564CB3"/>
    <w:rsid w:val="00577C3A"/>
    <w:rsid w:val="00582E34"/>
    <w:rsid w:val="005C71EF"/>
    <w:rsid w:val="00646356"/>
    <w:rsid w:val="006655C6"/>
    <w:rsid w:val="006940CD"/>
    <w:rsid w:val="00752C05"/>
    <w:rsid w:val="0075357A"/>
    <w:rsid w:val="00832676"/>
    <w:rsid w:val="0086694E"/>
    <w:rsid w:val="009414B8"/>
    <w:rsid w:val="0096173D"/>
    <w:rsid w:val="009A12AD"/>
    <w:rsid w:val="00A15132"/>
    <w:rsid w:val="00A93281"/>
    <w:rsid w:val="00AA5FC3"/>
    <w:rsid w:val="00AB5F41"/>
    <w:rsid w:val="00AF6167"/>
    <w:rsid w:val="00B470C8"/>
    <w:rsid w:val="00B6457E"/>
    <w:rsid w:val="00B762D6"/>
    <w:rsid w:val="00B86BAD"/>
    <w:rsid w:val="00BF5E82"/>
    <w:rsid w:val="00C7151B"/>
    <w:rsid w:val="00C779A1"/>
    <w:rsid w:val="00CF265D"/>
    <w:rsid w:val="00D23FD7"/>
    <w:rsid w:val="00D570B2"/>
    <w:rsid w:val="00D947E3"/>
    <w:rsid w:val="00E835F3"/>
    <w:rsid w:val="00E872A6"/>
    <w:rsid w:val="00E95808"/>
    <w:rsid w:val="00F5535B"/>
    <w:rsid w:val="00FA09A4"/>
    <w:rsid w:val="00FF2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3E0"/>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5EDC"/>
    <w:pPr>
      <w:spacing w:after="0" w:line="240" w:lineRule="auto"/>
      <w:ind w:left="720"/>
    </w:pPr>
    <w:rPr>
      <w:rFonts w:ascii="Times New Roman" w:eastAsia="Times New Roman" w:hAnsi="Times New Roman" w:cs="Times New Roman"/>
      <w:sz w:val="24"/>
      <w:szCs w:val="24"/>
    </w:rPr>
  </w:style>
  <w:style w:type="character" w:styleId="FootnoteReference">
    <w:name w:val="footnote reference"/>
    <w:aliases w:val="Footnote Reference2"/>
    <w:basedOn w:val="DefaultParagraphFont"/>
    <w:uiPriority w:val="99"/>
    <w:rsid w:val="00465EDC"/>
    <w:rPr>
      <w:rFonts w:ascii="Times New Roman" w:hAnsi="Times New Roman" w:cs="Times New Roman"/>
      <w:sz w:val="24"/>
      <w:szCs w:val="24"/>
      <w:vertAlign w:val="baseline"/>
    </w:rPr>
  </w:style>
  <w:style w:type="paragraph" w:styleId="FootnoteText">
    <w:name w:val="footnote text"/>
    <w:basedOn w:val="Normal"/>
    <w:link w:val="FootnoteTextChar"/>
    <w:autoRedefine/>
    <w:uiPriority w:val="99"/>
    <w:rsid w:val="00465ED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65EDC"/>
  </w:style>
  <w:style w:type="character" w:styleId="Hyperlink">
    <w:name w:val="Hyperlink"/>
    <w:basedOn w:val="DefaultParagraphFont"/>
    <w:uiPriority w:val="99"/>
    <w:rsid w:val="00465EDC"/>
    <w:rPr>
      <w:rFonts w:cs="Times New Roman"/>
      <w:color w:val="0000FF"/>
      <w:u w:val="single"/>
    </w:rPr>
  </w:style>
  <w:style w:type="paragraph" w:styleId="Footer">
    <w:name w:val="footer"/>
    <w:basedOn w:val="Normal"/>
    <w:link w:val="FooterChar"/>
    <w:uiPriority w:val="99"/>
    <w:rsid w:val="00465E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65EDC"/>
    <w:rPr>
      <w:sz w:val="24"/>
      <w:szCs w:val="24"/>
    </w:rPr>
  </w:style>
  <w:style w:type="paragraph" w:styleId="Header">
    <w:name w:val="header"/>
    <w:basedOn w:val="Normal"/>
    <w:link w:val="HeaderChar"/>
    <w:rsid w:val="006940CD"/>
    <w:pPr>
      <w:tabs>
        <w:tab w:val="center" w:pos="4680"/>
        <w:tab w:val="right" w:pos="9360"/>
      </w:tabs>
      <w:spacing w:after="0" w:line="240" w:lineRule="auto"/>
    </w:pPr>
  </w:style>
  <w:style w:type="character" w:customStyle="1" w:styleId="HeaderChar">
    <w:name w:val="Header Char"/>
    <w:basedOn w:val="DefaultParagraphFont"/>
    <w:link w:val="Header"/>
    <w:rsid w:val="006940CD"/>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1280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wcouncil.org/library/return/200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A754E-F05D-4CB4-B235-C4F04E8E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724</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leonard</dc:creator>
  <cp:lastModifiedBy>A</cp:lastModifiedBy>
  <cp:revision>9</cp:revision>
  <dcterms:created xsi:type="dcterms:W3CDTF">2013-01-23T22:39:00Z</dcterms:created>
  <dcterms:modified xsi:type="dcterms:W3CDTF">2013-02-28T20:27:00Z</dcterms:modified>
</cp:coreProperties>
</file>