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60" w:rsidRPr="000017B6" w:rsidRDefault="001131AE" w:rsidP="00996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rPr>
          <w:sz w:val="36"/>
          <w:szCs w:val="36"/>
          <w:u w:val="single"/>
        </w:rPr>
      </w:pPr>
      <w:r w:rsidRPr="000017B6">
        <w:rPr>
          <w:sz w:val="36"/>
          <w:szCs w:val="36"/>
          <w:u w:val="single"/>
        </w:rPr>
        <w:t>2008/2010 FCRPS Biop</w:t>
      </w:r>
      <w:r w:rsidR="00996385" w:rsidRPr="000017B6">
        <w:rPr>
          <w:sz w:val="36"/>
          <w:szCs w:val="36"/>
          <w:u w:val="single"/>
        </w:rPr>
        <w:t xml:space="preserve"> Development and Harv</w:t>
      </w:r>
      <w:r w:rsidR="00D00C0F" w:rsidRPr="000017B6">
        <w:rPr>
          <w:sz w:val="36"/>
          <w:szCs w:val="36"/>
          <w:u w:val="single"/>
        </w:rPr>
        <w:t>est RM&amp;E</w:t>
      </w:r>
      <w:r w:rsidR="00996385" w:rsidRPr="000017B6">
        <w:rPr>
          <w:sz w:val="36"/>
          <w:szCs w:val="36"/>
          <w:u w:val="single"/>
        </w:rPr>
        <w:tab/>
      </w:r>
    </w:p>
    <w:p w:rsidR="00266CB4" w:rsidRDefault="00D3274E" w:rsidP="007A6B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result</w:t>
      </w:r>
      <w:r w:rsidR="005B1617">
        <w:rPr>
          <w:rFonts w:ascii="Times New Roman" w:hAnsi="Times New Roman"/>
          <w:sz w:val="24"/>
          <w:szCs w:val="24"/>
        </w:rPr>
        <w:t xml:space="preserve"> of the FCRPS</w:t>
      </w:r>
      <w:r w:rsidR="00266CB4">
        <w:rPr>
          <w:rFonts w:ascii="Times New Roman" w:hAnsi="Times New Roman"/>
          <w:sz w:val="24"/>
          <w:szCs w:val="24"/>
        </w:rPr>
        <w:t xml:space="preserve"> 2004</w:t>
      </w:r>
      <w:r w:rsidR="005B1617">
        <w:rPr>
          <w:rFonts w:ascii="Times New Roman" w:hAnsi="Times New Roman"/>
          <w:sz w:val="24"/>
          <w:szCs w:val="24"/>
        </w:rPr>
        <w:t xml:space="preserve"> Biop Remand process</w:t>
      </w:r>
      <w:r w:rsidR="00405249">
        <w:rPr>
          <w:rFonts w:ascii="Times New Roman" w:hAnsi="Times New Roman"/>
          <w:sz w:val="24"/>
          <w:szCs w:val="24"/>
        </w:rPr>
        <w:t>,</w:t>
      </w:r>
      <w:r w:rsidR="005B1617">
        <w:rPr>
          <w:rFonts w:ascii="Times New Roman" w:hAnsi="Times New Roman"/>
          <w:sz w:val="24"/>
          <w:szCs w:val="24"/>
        </w:rPr>
        <w:t xml:space="preserve"> the federal Action Agencies pr</w:t>
      </w:r>
      <w:r w:rsidR="00405249">
        <w:rPr>
          <w:rFonts w:ascii="Times New Roman" w:hAnsi="Times New Roman"/>
          <w:sz w:val="24"/>
          <w:szCs w:val="24"/>
        </w:rPr>
        <w:t>oduced a</w:t>
      </w:r>
      <w:r w:rsidR="00044639">
        <w:rPr>
          <w:rFonts w:ascii="Times New Roman" w:hAnsi="Times New Roman"/>
          <w:sz w:val="24"/>
          <w:szCs w:val="24"/>
        </w:rPr>
        <w:t xml:space="preserve"> Biological Assessment</w:t>
      </w:r>
      <w:r w:rsidR="001131AE">
        <w:rPr>
          <w:rFonts w:ascii="Times New Roman" w:hAnsi="Times New Roman"/>
          <w:sz w:val="24"/>
          <w:szCs w:val="24"/>
        </w:rPr>
        <w:t xml:space="preserve"> (BA)</w:t>
      </w:r>
      <w:r w:rsidR="00044639">
        <w:rPr>
          <w:rFonts w:ascii="Times New Roman" w:hAnsi="Times New Roman"/>
          <w:sz w:val="24"/>
          <w:szCs w:val="24"/>
        </w:rPr>
        <w:t xml:space="preserve"> and </w:t>
      </w:r>
      <w:r w:rsidR="005B1617">
        <w:rPr>
          <w:rFonts w:ascii="Times New Roman" w:hAnsi="Times New Roman"/>
          <w:sz w:val="24"/>
          <w:szCs w:val="24"/>
        </w:rPr>
        <w:t>Proposed Action (PA)</w:t>
      </w:r>
      <w:r w:rsidR="00266CB4">
        <w:rPr>
          <w:rFonts w:ascii="Times New Roman" w:hAnsi="Times New Roman"/>
          <w:sz w:val="24"/>
          <w:szCs w:val="24"/>
        </w:rPr>
        <w:t xml:space="preserve"> in late 2007.</w:t>
      </w:r>
      <w:r w:rsidR="00BC31AD">
        <w:rPr>
          <w:rFonts w:ascii="Times New Roman" w:hAnsi="Times New Roman"/>
          <w:sz w:val="24"/>
          <w:szCs w:val="24"/>
        </w:rPr>
        <w:t xml:space="preserve"> These documents were developed in consultation with NOAA and were informed by work products generated from a</w:t>
      </w:r>
      <w:r w:rsidR="00266CB4">
        <w:rPr>
          <w:rFonts w:ascii="Times New Roman" w:hAnsi="Times New Roman"/>
          <w:sz w:val="24"/>
          <w:szCs w:val="24"/>
        </w:rPr>
        <w:t xml:space="preserve"> collaborative process</w:t>
      </w:r>
      <w:r w:rsidR="00BC31AD">
        <w:rPr>
          <w:rFonts w:ascii="Times New Roman" w:hAnsi="Times New Roman"/>
          <w:sz w:val="24"/>
          <w:szCs w:val="24"/>
        </w:rPr>
        <w:t xml:space="preserve"> that included </w:t>
      </w:r>
      <w:r w:rsidR="005B1617">
        <w:rPr>
          <w:rFonts w:ascii="Times New Roman" w:hAnsi="Times New Roman"/>
          <w:sz w:val="24"/>
          <w:szCs w:val="24"/>
        </w:rPr>
        <w:t xml:space="preserve">technical </w:t>
      </w:r>
      <w:r w:rsidR="00266CB4">
        <w:rPr>
          <w:rFonts w:ascii="Times New Roman" w:hAnsi="Times New Roman"/>
          <w:sz w:val="24"/>
          <w:szCs w:val="24"/>
        </w:rPr>
        <w:t>and policy representatives from</w:t>
      </w:r>
      <w:r w:rsidR="00047F60">
        <w:rPr>
          <w:rFonts w:ascii="Times New Roman" w:hAnsi="Times New Roman"/>
          <w:sz w:val="24"/>
          <w:szCs w:val="24"/>
        </w:rPr>
        <w:t xml:space="preserve"> state, federal, and</w:t>
      </w:r>
      <w:r w:rsidR="005B1617">
        <w:rPr>
          <w:rFonts w:ascii="Times New Roman" w:hAnsi="Times New Roman"/>
          <w:sz w:val="24"/>
          <w:szCs w:val="24"/>
        </w:rPr>
        <w:t xml:space="preserve"> tribal sovereigns</w:t>
      </w:r>
      <w:r w:rsidR="00266CB4">
        <w:rPr>
          <w:rFonts w:ascii="Times New Roman" w:hAnsi="Times New Roman"/>
          <w:sz w:val="24"/>
          <w:szCs w:val="24"/>
        </w:rPr>
        <w:t xml:space="preserve">. The collaborative process included several work groups: </w:t>
      </w:r>
    </w:p>
    <w:p w:rsidR="00405249" w:rsidRDefault="00405249" w:rsidP="007A6B6A">
      <w:pPr>
        <w:pStyle w:val="NoSpacing"/>
        <w:rPr>
          <w:rFonts w:ascii="Times New Roman" w:hAnsi="Times New Roman"/>
          <w:sz w:val="24"/>
          <w:szCs w:val="24"/>
        </w:rPr>
      </w:pPr>
    </w:p>
    <w:p w:rsidR="00266CB4" w:rsidRDefault="00266CB4" w:rsidP="00266CB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Recovery Goals and Gaps</w:t>
      </w:r>
    </w:p>
    <w:p w:rsidR="00266CB4" w:rsidRDefault="00266CB4" w:rsidP="00266CB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Impacts framework</w:t>
      </w:r>
    </w:p>
    <w:p w:rsidR="00266CB4" w:rsidRDefault="00266CB4" w:rsidP="00266CB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Habitat</w:t>
      </w:r>
    </w:p>
    <w:p w:rsidR="00266CB4" w:rsidRDefault="00266CB4" w:rsidP="00266CB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Hatchery and Harvest</w:t>
      </w:r>
    </w:p>
    <w:p w:rsidR="00266CB4" w:rsidRDefault="00266CB4" w:rsidP="00266CB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Hydro Actions</w:t>
      </w:r>
    </w:p>
    <w:p w:rsidR="00266CB4" w:rsidRDefault="00266CB4" w:rsidP="00266CB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Passage Model</w:t>
      </w:r>
    </w:p>
    <w:p w:rsidR="00047F60" w:rsidRDefault="00266CB4" w:rsidP="00266CB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Performance Standards and RM &amp; E</w:t>
      </w:r>
      <w:r w:rsidR="005B1617" w:rsidRPr="00266CB4">
        <w:rPr>
          <w:rFonts w:ascii="Times New Roman" w:hAnsi="Times New Roman"/>
          <w:sz w:val="24"/>
          <w:szCs w:val="24"/>
        </w:rPr>
        <w:t>.</w:t>
      </w:r>
    </w:p>
    <w:p w:rsidR="00044639" w:rsidRDefault="00044639" w:rsidP="00266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Included in the BA is an assessment of population status for each ESU</w:t>
      </w:r>
      <w:r w:rsidR="001131AE">
        <w:rPr>
          <w:rFonts w:ascii="Times New Roman" w:hAnsi="Times New Roman"/>
          <w:sz w:val="24"/>
          <w:szCs w:val="24"/>
        </w:rPr>
        <w:t>, a description of the key limiting factors</w:t>
      </w:r>
      <w:r w:rsidR="00405249">
        <w:rPr>
          <w:rFonts w:ascii="Times New Roman" w:hAnsi="Times New Roman"/>
          <w:sz w:val="24"/>
          <w:szCs w:val="24"/>
        </w:rPr>
        <w:t xml:space="preserve"> for survival</w:t>
      </w:r>
      <w:r w:rsidR="001131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the estimated population response to the Proposed Action. This Comprehensive Analysis includes</w:t>
      </w:r>
      <w:r w:rsidR="00405249">
        <w:rPr>
          <w:rFonts w:ascii="Times New Roman" w:hAnsi="Times New Roman"/>
          <w:sz w:val="24"/>
          <w:szCs w:val="24"/>
        </w:rPr>
        <w:t xml:space="preserve"> the recent</w:t>
      </w:r>
      <w:r>
        <w:rPr>
          <w:rFonts w:ascii="Times New Roman" w:hAnsi="Times New Roman"/>
          <w:sz w:val="24"/>
          <w:szCs w:val="24"/>
        </w:rPr>
        <w:t xml:space="preserve"> status of each population, expected population survival improvements associated with current</w:t>
      </w:r>
      <w:r w:rsidR="00D3274E">
        <w:rPr>
          <w:rFonts w:ascii="Times New Roman" w:hAnsi="Times New Roman"/>
          <w:sz w:val="24"/>
          <w:szCs w:val="24"/>
        </w:rPr>
        <w:t xml:space="preserve"> and future </w:t>
      </w:r>
      <w:r>
        <w:rPr>
          <w:rFonts w:ascii="Times New Roman" w:hAnsi="Times New Roman"/>
          <w:sz w:val="24"/>
          <w:szCs w:val="24"/>
        </w:rPr>
        <w:t>hydro, harvest, hatchery, and habi</w:t>
      </w:r>
      <w:r w:rsidR="00D3274E">
        <w:rPr>
          <w:rFonts w:ascii="Times New Roman" w:hAnsi="Times New Roman"/>
          <w:sz w:val="24"/>
          <w:szCs w:val="24"/>
        </w:rPr>
        <w:t xml:space="preserve">tat </w:t>
      </w:r>
      <w:r>
        <w:rPr>
          <w:rFonts w:ascii="Times New Roman" w:hAnsi="Times New Roman"/>
          <w:sz w:val="24"/>
          <w:szCs w:val="24"/>
        </w:rPr>
        <w:t xml:space="preserve">actions contemplated in the </w:t>
      </w:r>
      <w:r w:rsidR="00D3274E">
        <w:rPr>
          <w:rFonts w:ascii="Times New Roman" w:hAnsi="Times New Roman"/>
          <w:sz w:val="24"/>
          <w:szCs w:val="24"/>
        </w:rPr>
        <w:t xml:space="preserve">2007 </w:t>
      </w:r>
      <w:r>
        <w:rPr>
          <w:rFonts w:ascii="Times New Roman" w:hAnsi="Times New Roman"/>
          <w:sz w:val="24"/>
          <w:szCs w:val="24"/>
        </w:rPr>
        <w:t>Proposed Action</w:t>
      </w:r>
      <w:r w:rsidR="001131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405249">
        <w:rPr>
          <w:rFonts w:ascii="Times New Roman" w:hAnsi="Times New Roman"/>
          <w:sz w:val="24"/>
          <w:szCs w:val="24"/>
        </w:rPr>
        <w:t>The</w:t>
      </w:r>
      <w:r w:rsidR="00D3274E">
        <w:rPr>
          <w:rFonts w:ascii="Times New Roman" w:hAnsi="Times New Roman"/>
          <w:sz w:val="24"/>
          <w:szCs w:val="24"/>
        </w:rPr>
        <w:t>se</w:t>
      </w:r>
      <w:r w:rsidR="00405249">
        <w:rPr>
          <w:rFonts w:ascii="Times New Roman" w:hAnsi="Times New Roman"/>
          <w:sz w:val="24"/>
          <w:szCs w:val="24"/>
        </w:rPr>
        <w:t xml:space="preserve"> expectations link the FCRPS Biop, the Harvest Biop, and the upper Snake River Biop.</w:t>
      </w:r>
    </w:p>
    <w:p w:rsidR="00482AF5" w:rsidRDefault="00AB75D4" w:rsidP="00266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Proposed Action represents</w:t>
      </w:r>
      <w:r w:rsidR="001131AE">
        <w:rPr>
          <w:rFonts w:ascii="Times New Roman" w:hAnsi="Times New Roman"/>
          <w:sz w:val="24"/>
          <w:szCs w:val="24"/>
        </w:rPr>
        <w:t xml:space="preserve"> The Action Agencies approach to </w:t>
      </w:r>
      <w:r>
        <w:rPr>
          <w:rFonts w:ascii="Times New Roman" w:hAnsi="Times New Roman"/>
          <w:sz w:val="24"/>
          <w:szCs w:val="24"/>
        </w:rPr>
        <w:t>address</w:t>
      </w:r>
      <w:r w:rsidR="00482AF5">
        <w:rPr>
          <w:rFonts w:ascii="Times New Roman" w:hAnsi="Times New Roman"/>
          <w:sz w:val="24"/>
          <w:szCs w:val="24"/>
        </w:rPr>
        <w:t xml:space="preserve"> each limiting factor, including strategies for Hydro, Habitat, Hatcheries, Harvest, and Predation. The Harvest Action includes three strategies</w:t>
      </w:r>
      <w:r w:rsidR="00405249">
        <w:rPr>
          <w:rFonts w:ascii="Times New Roman" w:hAnsi="Times New Roman"/>
          <w:sz w:val="24"/>
          <w:szCs w:val="24"/>
        </w:rPr>
        <w:t>:</w:t>
      </w:r>
    </w:p>
    <w:p w:rsidR="001131AE" w:rsidRPr="00AB75D4" w:rsidRDefault="00482AF5" w:rsidP="00266CB4">
      <w:pPr>
        <w:rPr>
          <w:rFonts w:ascii="Times New Roman" w:hAnsi="Times New Roman"/>
          <w:b/>
          <w:sz w:val="24"/>
          <w:szCs w:val="24"/>
        </w:rPr>
      </w:pPr>
      <w:r w:rsidRPr="00AB75D4">
        <w:rPr>
          <w:rFonts w:ascii="Times New Roman" w:hAnsi="Times New Roman"/>
          <w:b/>
          <w:sz w:val="24"/>
          <w:szCs w:val="24"/>
        </w:rPr>
        <w:t>B.2.4.2. Harvest Strategies</w:t>
      </w:r>
      <w:r w:rsidR="001131AE" w:rsidRPr="00AB75D4">
        <w:rPr>
          <w:rFonts w:ascii="Times New Roman" w:hAnsi="Times New Roman"/>
          <w:b/>
          <w:sz w:val="24"/>
          <w:szCs w:val="24"/>
        </w:rPr>
        <w:t xml:space="preserve"> </w:t>
      </w:r>
    </w:p>
    <w:p w:rsidR="00482AF5" w:rsidRDefault="00482AF5" w:rsidP="00266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Action Agencies have identified three specific harvest strategies that are either ongoing </w:t>
      </w:r>
      <w:r w:rsidR="007D5F45">
        <w:rPr>
          <w:rFonts w:ascii="Times New Roman" w:hAnsi="Times New Roman"/>
          <w:sz w:val="24"/>
          <w:szCs w:val="24"/>
        </w:rPr>
        <w:t xml:space="preserve">or </w:t>
      </w:r>
      <w:proofErr w:type="gramStart"/>
      <w:r w:rsidR="007D5F45">
        <w:rPr>
          <w:rFonts w:ascii="Times New Roman" w:hAnsi="Times New Roman"/>
          <w:sz w:val="24"/>
          <w:szCs w:val="24"/>
        </w:rPr>
        <w:t>will</w:t>
      </w:r>
      <w:proofErr w:type="gramEnd"/>
      <w:r w:rsidR="007D5F45">
        <w:rPr>
          <w:rFonts w:ascii="Times New Roman" w:hAnsi="Times New Roman"/>
          <w:sz w:val="24"/>
          <w:szCs w:val="24"/>
        </w:rPr>
        <w:t xml:space="preserve"> be implemented for the H</w:t>
      </w:r>
      <w:r>
        <w:rPr>
          <w:rFonts w:ascii="Times New Roman" w:hAnsi="Times New Roman"/>
          <w:sz w:val="24"/>
          <w:szCs w:val="24"/>
        </w:rPr>
        <w:t>arvest Action”</w:t>
      </w:r>
    </w:p>
    <w:p w:rsidR="00482AF5" w:rsidRPr="00AB75D4" w:rsidRDefault="00482AF5" w:rsidP="00482AF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B75D4">
        <w:rPr>
          <w:rFonts w:ascii="Times New Roman" w:hAnsi="Times New Roman"/>
          <w:b/>
          <w:sz w:val="24"/>
          <w:szCs w:val="24"/>
        </w:rPr>
        <w:t>Harvest Strategy 1- Fishery Conservation Effectiveness Program</w:t>
      </w:r>
    </w:p>
    <w:p w:rsidR="00482AF5" w:rsidRDefault="00482AF5" w:rsidP="00482AF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Harvest Strategy 2- Potential Alternative/ Terminal Fishing Locations</w:t>
      </w:r>
    </w:p>
    <w:p w:rsidR="00482AF5" w:rsidRDefault="00482AF5" w:rsidP="00482AF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Harvest Strategy 3- Develop Fishing Techniques to Enable Fisheries to Target Non-Listed Fish While Reducing Harvest-Related Mortality on ESA- Listed Species</w:t>
      </w:r>
    </w:p>
    <w:p w:rsidR="00482AF5" w:rsidRDefault="00482AF5" w:rsidP="00482AF5">
      <w:pPr>
        <w:rPr>
          <w:rFonts w:ascii="Times New Roman" w:hAnsi="Times New Roman"/>
          <w:sz w:val="24"/>
          <w:szCs w:val="24"/>
        </w:rPr>
      </w:pPr>
    </w:p>
    <w:p w:rsidR="00482AF5" w:rsidRPr="00996385" w:rsidRDefault="00482AF5" w:rsidP="00482AF5">
      <w:pPr>
        <w:rPr>
          <w:rFonts w:ascii="Times New Roman" w:hAnsi="Times New Roman"/>
          <w:b/>
          <w:sz w:val="24"/>
          <w:szCs w:val="24"/>
        </w:rPr>
      </w:pPr>
      <w:r w:rsidRPr="00996385">
        <w:rPr>
          <w:rFonts w:ascii="Times New Roman" w:hAnsi="Times New Roman"/>
          <w:b/>
          <w:sz w:val="24"/>
          <w:szCs w:val="24"/>
        </w:rPr>
        <w:lastRenderedPageBreak/>
        <w:t>B.2.4.2.1 Harvest Strategy 1:  Fishery Conservation Effectiveness Program</w:t>
      </w:r>
    </w:p>
    <w:p w:rsidR="00044639" w:rsidRDefault="00996385" w:rsidP="00266CB4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“ Harvest</w:t>
      </w:r>
      <w:proofErr w:type="gramEnd"/>
      <w:r>
        <w:rPr>
          <w:rFonts w:ascii="Times New Roman" w:hAnsi="Times New Roman"/>
          <w:sz w:val="24"/>
          <w:szCs w:val="24"/>
        </w:rPr>
        <w:t xml:space="preserve"> reductions produce immediate increases in spawning escapement, thereby reducing the near-term risk of extinction. Under Harvest Strategy 1, </w:t>
      </w:r>
      <w:r w:rsidRPr="00AB75D4">
        <w:rPr>
          <w:rFonts w:ascii="Times New Roman" w:hAnsi="Times New Roman"/>
          <w:b/>
          <w:sz w:val="24"/>
          <w:szCs w:val="24"/>
        </w:rPr>
        <w:t>the Action Agencies will pursue opportunities to ensure harvest is effective in meeting conservation objectives for reducing impacts on listed species,</w:t>
      </w:r>
      <w:r>
        <w:rPr>
          <w:rFonts w:ascii="Times New Roman" w:hAnsi="Times New Roman"/>
          <w:sz w:val="24"/>
          <w:szCs w:val="24"/>
        </w:rPr>
        <w:t xml:space="preserve"> consistent with the 2,000 Biop (National Marine Fisheries Service 2000a). These opportunities may include advances in stock identification, monitoring, run-size forecasts, and in-season management to reduce uncertainty in harvest impacts to listed fish and </w:t>
      </w:r>
      <w:r w:rsidRPr="00996385">
        <w:rPr>
          <w:rFonts w:ascii="Times New Roman" w:hAnsi="Times New Roman"/>
          <w:b/>
          <w:sz w:val="24"/>
          <w:szCs w:val="24"/>
        </w:rPr>
        <w:t>ensure the intended increased abundance to the spawning grounds and biological benefits are achieved</w:t>
      </w:r>
    </w:p>
    <w:p w:rsidR="00996385" w:rsidRDefault="00996385" w:rsidP="00266CB4">
      <w:pPr>
        <w:rPr>
          <w:rFonts w:ascii="Times New Roman" w:hAnsi="Times New Roman"/>
          <w:sz w:val="24"/>
          <w:szCs w:val="24"/>
        </w:rPr>
      </w:pPr>
      <w:r w:rsidRPr="00AB75D4">
        <w:rPr>
          <w:rFonts w:ascii="Times New Roman" w:hAnsi="Times New Roman"/>
          <w:b/>
          <w:sz w:val="24"/>
          <w:szCs w:val="24"/>
        </w:rPr>
        <w:t>The Action Agencies support increased in-season monitoring of catch, encounters, and escapement of fish</w:t>
      </w:r>
      <w:r w:rsidR="007A6B6A" w:rsidRPr="00AB75D4">
        <w:rPr>
          <w:rFonts w:ascii="Times New Roman" w:hAnsi="Times New Roman"/>
          <w:b/>
          <w:sz w:val="24"/>
          <w:szCs w:val="24"/>
        </w:rPr>
        <w:t xml:space="preserve"> within the Columbia River Basin because even low levels of mortality can affect the prospects for survival and recovery. </w:t>
      </w:r>
      <w:r w:rsidR="007A6B6A">
        <w:rPr>
          <w:rFonts w:ascii="Times New Roman" w:hAnsi="Times New Roman"/>
          <w:sz w:val="24"/>
          <w:szCs w:val="24"/>
        </w:rPr>
        <w:t>Therefore, accurate and precise estimates of incidental mortalities are essential for determining the extent to which selective fisheries can accomplish their intended purposes.</w:t>
      </w:r>
    </w:p>
    <w:p w:rsidR="007A6B6A" w:rsidRDefault="007A6B6A" w:rsidP="00266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Action Agencies support the deployment of passive integrated transponder (PIT)-tag detectors for fisheries sampling and the expanded deployment of PIT-tag detectors in terminal areas. In addition</w:t>
      </w:r>
      <w:r w:rsidRPr="00AB75D4">
        <w:rPr>
          <w:rFonts w:ascii="Times New Roman" w:hAnsi="Times New Roman"/>
          <w:b/>
          <w:sz w:val="24"/>
          <w:szCs w:val="24"/>
        </w:rPr>
        <w:t xml:space="preserve">, the Action Agencies will assist in the development of a plan to add PIT-tag detections in mainstem Columbia River fisheries. </w:t>
      </w:r>
      <w:r>
        <w:rPr>
          <w:rFonts w:ascii="Times New Roman" w:hAnsi="Times New Roman"/>
          <w:sz w:val="24"/>
          <w:szCs w:val="24"/>
        </w:rPr>
        <w:t xml:space="preserve">The potential benefit of this monitoring is providing an independent assessment of harvest impacts and stock composition in the fisheries. </w:t>
      </w:r>
    </w:p>
    <w:p w:rsidR="007A6B6A" w:rsidRDefault="007A6B6A" w:rsidP="00266CB4">
      <w:pPr>
        <w:rPr>
          <w:rFonts w:ascii="Times New Roman" w:hAnsi="Times New Roman"/>
          <w:sz w:val="24"/>
          <w:szCs w:val="24"/>
        </w:rPr>
      </w:pPr>
      <w:r w:rsidRPr="00AB75D4">
        <w:rPr>
          <w:rFonts w:ascii="Times New Roman" w:hAnsi="Times New Roman"/>
          <w:b/>
          <w:sz w:val="24"/>
          <w:szCs w:val="24"/>
        </w:rPr>
        <w:t>The information obtained from the PIT-tag program will be helpful in decreasing the uncertainty in measurement of adult survival through the FCRPS.</w:t>
      </w:r>
      <w:r>
        <w:rPr>
          <w:rFonts w:ascii="Times New Roman" w:hAnsi="Times New Roman"/>
          <w:sz w:val="24"/>
          <w:szCs w:val="24"/>
        </w:rPr>
        <w:t xml:space="preserve">  The Action Agencies are working with fisheries managers to determine the specific quantity of detectors and modification of sampling protocols to incorporate this additional data collection.</w:t>
      </w:r>
    </w:p>
    <w:p w:rsidR="007D5F45" w:rsidRDefault="007D5F45" w:rsidP="00266CB4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opportunities may include the use of conservation easements or catch agreements that reimburse commercial harvesters for reducing their catch with appropriate pass-through measures that provide additional quantifiable adult life-stage improvements for listed ESUs.”</w:t>
      </w:r>
    </w:p>
    <w:p w:rsidR="007D5F45" w:rsidRDefault="007D5F45" w:rsidP="00266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20</w:t>
      </w:r>
      <w:r w:rsidR="000414FA">
        <w:rPr>
          <w:rFonts w:ascii="Times New Roman" w:hAnsi="Times New Roman"/>
          <w:sz w:val="24"/>
          <w:szCs w:val="24"/>
        </w:rPr>
        <w:t>08 FCRPS Biop produced a jeopardy opinion</w:t>
      </w:r>
      <w:r>
        <w:rPr>
          <w:rFonts w:ascii="Times New Roman" w:hAnsi="Times New Roman"/>
          <w:sz w:val="24"/>
          <w:szCs w:val="24"/>
        </w:rPr>
        <w:t xml:space="preserve"> on the federal Hydro system, but relied upon the suite of actions in the Action Agencies 2007 proposed action, and the associated </w:t>
      </w:r>
      <w:r w:rsidR="00397837">
        <w:rPr>
          <w:rFonts w:ascii="Times New Roman" w:hAnsi="Times New Roman"/>
          <w:sz w:val="24"/>
          <w:szCs w:val="24"/>
        </w:rPr>
        <w:t>Biological Assessment</w:t>
      </w:r>
      <w:r>
        <w:rPr>
          <w:rFonts w:ascii="Times New Roman" w:hAnsi="Times New Roman"/>
          <w:sz w:val="24"/>
          <w:szCs w:val="24"/>
        </w:rPr>
        <w:t xml:space="preserve">, to develop </w:t>
      </w:r>
      <w:r w:rsidR="00397837">
        <w:rPr>
          <w:rFonts w:ascii="Times New Roman" w:hAnsi="Times New Roman"/>
          <w:sz w:val="24"/>
          <w:szCs w:val="24"/>
        </w:rPr>
        <w:t>Reasonable and Prudent Alternatives (</w:t>
      </w:r>
      <w:r>
        <w:rPr>
          <w:rFonts w:ascii="Times New Roman" w:hAnsi="Times New Roman"/>
          <w:sz w:val="24"/>
          <w:szCs w:val="24"/>
        </w:rPr>
        <w:t>RPAs</w:t>
      </w:r>
      <w:r w:rsidR="00397837">
        <w:rPr>
          <w:rFonts w:ascii="Times New Roman" w:hAnsi="Times New Roman"/>
          <w:sz w:val="24"/>
          <w:szCs w:val="24"/>
        </w:rPr>
        <w:t>). RM&amp;E Strategy 5</w:t>
      </w:r>
      <w:r>
        <w:rPr>
          <w:rFonts w:ascii="Times New Roman" w:hAnsi="Times New Roman"/>
          <w:sz w:val="24"/>
          <w:szCs w:val="24"/>
        </w:rPr>
        <w:t xml:space="preserve"> </w:t>
      </w:r>
      <w:r w:rsidR="00397837">
        <w:rPr>
          <w:rFonts w:ascii="Times New Roman" w:hAnsi="Times New Roman"/>
          <w:sz w:val="24"/>
          <w:szCs w:val="24"/>
        </w:rPr>
        <w:t>and</w:t>
      </w:r>
      <w:r w:rsidR="00D00C0F">
        <w:rPr>
          <w:rFonts w:ascii="Times New Roman" w:hAnsi="Times New Roman"/>
          <w:sz w:val="24"/>
          <w:szCs w:val="24"/>
        </w:rPr>
        <w:t xml:space="preserve"> RPA 62 reflect Action Agency supported harvest actions:</w:t>
      </w:r>
    </w:p>
    <w:p w:rsidR="00397837" w:rsidRDefault="00397837" w:rsidP="00266C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RM&amp;E Strategy 5- Harvest Research, Monitoring, and Evaluation</w:t>
      </w:r>
    </w:p>
    <w:p w:rsidR="00397837" w:rsidRPr="00397837" w:rsidRDefault="00397837" w:rsidP="00266CB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“The Action Agencies strategy is to support performance monitoring and adaptive management related to harvest actions.”</w:t>
      </w:r>
    </w:p>
    <w:p w:rsidR="009D2EF6" w:rsidRDefault="009D2EF6" w:rsidP="00266CB4">
      <w:pPr>
        <w:rPr>
          <w:rFonts w:ascii="Times New Roman" w:hAnsi="Times New Roman"/>
          <w:b/>
          <w:sz w:val="24"/>
          <w:szCs w:val="24"/>
        </w:rPr>
      </w:pPr>
    </w:p>
    <w:p w:rsidR="007D5F45" w:rsidRDefault="007D5F45" w:rsidP="00266CB4">
      <w:pPr>
        <w:rPr>
          <w:rFonts w:ascii="Times New Roman" w:hAnsi="Times New Roman"/>
          <w:b/>
          <w:sz w:val="24"/>
          <w:szCs w:val="24"/>
        </w:rPr>
      </w:pPr>
      <w:r w:rsidRPr="007D5F45">
        <w:rPr>
          <w:rFonts w:ascii="Times New Roman" w:hAnsi="Times New Roman"/>
          <w:b/>
          <w:sz w:val="24"/>
          <w:szCs w:val="24"/>
        </w:rPr>
        <w:lastRenderedPageBreak/>
        <w:t xml:space="preserve">RPA 62    Fund Selected Harvest Investigations </w:t>
      </w:r>
    </w:p>
    <w:p w:rsidR="007D5F45" w:rsidRDefault="007D5F45" w:rsidP="00266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Action Agencies will fund selected harvest investigations linked to FCRPS interests:”</w:t>
      </w:r>
    </w:p>
    <w:p w:rsidR="007D5F45" w:rsidRDefault="007D5F45" w:rsidP="007D5F4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 the feasibility</w:t>
      </w:r>
      <w:r w:rsidR="00405249">
        <w:rPr>
          <w:rFonts w:ascii="Times New Roman" w:hAnsi="Times New Roman"/>
          <w:sz w:val="24"/>
          <w:szCs w:val="24"/>
        </w:rPr>
        <w:t xml:space="preserve"> of obtaining PIT-tag recoveries between Bonneville and McNary dams (Zone 6) to determine whether recoveries can help refine</w:t>
      </w:r>
      <w:r>
        <w:rPr>
          <w:rFonts w:ascii="Times New Roman" w:hAnsi="Times New Roman"/>
          <w:sz w:val="24"/>
          <w:szCs w:val="24"/>
        </w:rPr>
        <w:t xml:space="preserve"> </w:t>
      </w:r>
      <w:r w:rsidR="00405249">
        <w:rPr>
          <w:rFonts w:ascii="Times New Roman" w:hAnsi="Times New Roman"/>
          <w:sz w:val="24"/>
          <w:szCs w:val="24"/>
        </w:rPr>
        <w:t xml:space="preserve">estimates of in-river </w:t>
      </w:r>
      <w:r w:rsidR="00220BC2">
        <w:rPr>
          <w:rFonts w:ascii="Times New Roman" w:hAnsi="Times New Roman"/>
          <w:sz w:val="24"/>
          <w:szCs w:val="24"/>
        </w:rPr>
        <w:t>harvest rates and stray rates used to assess adult survival rates. For FY 2009, focus on a pilot to test the feasibility of PIT-tag recoveries of harvested fish in this rea</w:t>
      </w:r>
      <w:r w:rsidR="00D00C0F">
        <w:rPr>
          <w:rFonts w:ascii="Times New Roman" w:hAnsi="Times New Roman"/>
          <w:sz w:val="24"/>
          <w:szCs w:val="24"/>
        </w:rPr>
        <w:t>ch (</w:t>
      </w:r>
      <w:r w:rsidR="00220BC2">
        <w:rPr>
          <w:rFonts w:ascii="Times New Roman" w:hAnsi="Times New Roman"/>
          <w:sz w:val="24"/>
          <w:szCs w:val="24"/>
        </w:rPr>
        <w:t>spring, summer, and fall Chinook salmon and summer steelhead). ( Initiate in FY 2007-09 Projects</w:t>
      </w:r>
    </w:p>
    <w:p w:rsidR="00397837" w:rsidRDefault="00397837" w:rsidP="007D5F4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 methods to develop or expand use of selective fishing methods and gear. (Initiate in FY 2007-2009 Projects)</w:t>
      </w:r>
    </w:p>
    <w:p w:rsidR="00397837" w:rsidRDefault="00397837" w:rsidP="007D5F4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 post-release mortality rates for selected fisheries. ( Initiate in FY 2007-2009 Projects)</w:t>
      </w:r>
    </w:p>
    <w:p w:rsidR="00397837" w:rsidRPr="00AB75D4" w:rsidRDefault="00397837" w:rsidP="007D5F4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B75D4">
        <w:rPr>
          <w:rFonts w:ascii="Times New Roman" w:hAnsi="Times New Roman"/>
          <w:b/>
          <w:sz w:val="24"/>
          <w:szCs w:val="24"/>
        </w:rPr>
        <w:t>Support coded-wire tagging and coded-wire-tag recovery operations that inform survival</w:t>
      </w:r>
      <w:r w:rsidR="00D00C0F" w:rsidRPr="00AB75D4">
        <w:rPr>
          <w:rFonts w:ascii="Times New Roman" w:hAnsi="Times New Roman"/>
          <w:b/>
          <w:sz w:val="24"/>
          <w:szCs w:val="24"/>
        </w:rPr>
        <w:t>, straying, and harvest rates of hatchery fish by stock, rearing facility, release treatment, and location ( Initiate in FY 2007-2009 Projects)</w:t>
      </w:r>
    </w:p>
    <w:p w:rsidR="00D00C0F" w:rsidRDefault="00D00C0F" w:rsidP="007D5F4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Investigate the feasibility of genetic stock identification monitoring techniques (Initiate in FY 2007-2009 Projects)</w:t>
      </w:r>
    </w:p>
    <w:p w:rsidR="009D2EF6" w:rsidRDefault="009D2EF6" w:rsidP="00D00C0F">
      <w:pPr>
        <w:rPr>
          <w:rFonts w:ascii="Times New Roman" w:hAnsi="Times New Roman"/>
          <w:sz w:val="24"/>
          <w:szCs w:val="24"/>
        </w:rPr>
      </w:pPr>
    </w:p>
    <w:p w:rsidR="00D00C0F" w:rsidRPr="009D2EF6" w:rsidRDefault="000414FA" w:rsidP="00D00C0F">
      <w:pPr>
        <w:rPr>
          <w:rFonts w:ascii="Times New Roman" w:hAnsi="Times New Roman"/>
          <w:i/>
          <w:sz w:val="24"/>
          <w:szCs w:val="24"/>
        </w:rPr>
      </w:pPr>
      <w:r w:rsidRPr="009D2EF6">
        <w:rPr>
          <w:rFonts w:ascii="Times New Roman" w:hAnsi="Times New Roman"/>
          <w:i/>
          <w:sz w:val="24"/>
          <w:szCs w:val="24"/>
        </w:rPr>
        <w:t xml:space="preserve">RPA 62 indicates </w:t>
      </w:r>
      <w:r w:rsidR="00D00C0F" w:rsidRPr="009D2EF6">
        <w:rPr>
          <w:rFonts w:ascii="Times New Roman" w:hAnsi="Times New Roman"/>
          <w:i/>
          <w:sz w:val="24"/>
          <w:szCs w:val="24"/>
        </w:rPr>
        <w:t xml:space="preserve">that information from these actions will be included in the 2013 and 2016 Comprehensive RPA Evaluation Reports. </w:t>
      </w:r>
    </w:p>
    <w:p w:rsidR="000414FA" w:rsidRDefault="000414FA" w:rsidP="00D00C0F">
      <w:pPr>
        <w:rPr>
          <w:rFonts w:ascii="Times New Roman" w:hAnsi="Times New Roman"/>
          <w:sz w:val="24"/>
          <w:szCs w:val="24"/>
        </w:rPr>
      </w:pPr>
    </w:p>
    <w:p w:rsidR="000414FA" w:rsidRDefault="000414FA" w:rsidP="00D00C0F">
      <w:pPr>
        <w:rPr>
          <w:rFonts w:ascii="Times New Roman" w:hAnsi="Times New Roman"/>
          <w:sz w:val="24"/>
          <w:szCs w:val="24"/>
        </w:rPr>
      </w:pPr>
    </w:p>
    <w:p w:rsidR="000414FA" w:rsidRPr="00D00C0F" w:rsidRDefault="000414FA" w:rsidP="00D00C0F">
      <w:pPr>
        <w:rPr>
          <w:rFonts w:ascii="Times New Roman" w:hAnsi="Times New Roman"/>
          <w:sz w:val="24"/>
          <w:szCs w:val="24"/>
        </w:rPr>
      </w:pPr>
    </w:p>
    <w:p w:rsidR="007D5F45" w:rsidRPr="00996385" w:rsidRDefault="007D5F45" w:rsidP="00266CB4">
      <w:pPr>
        <w:rPr>
          <w:rFonts w:ascii="Times New Roman" w:hAnsi="Times New Roman"/>
          <w:sz w:val="24"/>
          <w:szCs w:val="24"/>
        </w:rPr>
      </w:pPr>
    </w:p>
    <w:sectPr w:rsidR="007D5F45" w:rsidRPr="00996385" w:rsidSect="0046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1E3D"/>
    <w:multiLevelType w:val="hybridMultilevel"/>
    <w:tmpl w:val="633EE05C"/>
    <w:lvl w:ilvl="0" w:tplc="C6B476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A5DE4"/>
    <w:multiLevelType w:val="hybridMultilevel"/>
    <w:tmpl w:val="4222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47F60"/>
    <w:rsid w:val="000017B6"/>
    <w:rsid w:val="000414FA"/>
    <w:rsid w:val="00044639"/>
    <w:rsid w:val="00047F60"/>
    <w:rsid w:val="00055B85"/>
    <w:rsid w:val="001131AE"/>
    <w:rsid w:val="00117AFD"/>
    <w:rsid w:val="00220BC2"/>
    <w:rsid w:val="00266CB4"/>
    <w:rsid w:val="002A64F8"/>
    <w:rsid w:val="00397837"/>
    <w:rsid w:val="00405249"/>
    <w:rsid w:val="0046332F"/>
    <w:rsid w:val="00482AF5"/>
    <w:rsid w:val="005B1617"/>
    <w:rsid w:val="0060150B"/>
    <w:rsid w:val="007A6B6A"/>
    <w:rsid w:val="007D5F45"/>
    <w:rsid w:val="00996385"/>
    <w:rsid w:val="009D2EF6"/>
    <w:rsid w:val="00AB75D4"/>
    <w:rsid w:val="00BC31AD"/>
    <w:rsid w:val="00D00C0F"/>
    <w:rsid w:val="00D3274E"/>
    <w:rsid w:val="00D51FBB"/>
    <w:rsid w:val="00DB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CB4"/>
    <w:pPr>
      <w:ind w:left="720"/>
    </w:pPr>
  </w:style>
  <w:style w:type="paragraph" w:styleId="NoSpacing">
    <w:name w:val="No Spacing"/>
    <w:uiPriority w:val="1"/>
    <w:qFormat/>
    <w:rsid w:val="0099638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normagrn</dc:creator>
  <cp:lastModifiedBy>Nancy Leonard (FIRF)</cp:lastModifiedBy>
  <cp:revision>2</cp:revision>
  <cp:lastPrinted>2013-04-10T15:32:00Z</cp:lastPrinted>
  <dcterms:created xsi:type="dcterms:W3CDTF">2013-04-16T07:08:00Z</dcterms:created>
  <dcterms:modified xsi:type="dcterms:W3CDTF">2013-04-16T07:08:00Z</dcterms:modified>
</cp:coreProperties>
</file>