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3AF" w:rsidRPr="009F03AF" w:rsidRDefault="009F03AF" w:rsidP="009F03AF">
      <w:pPr>
        <w:pStyle w:val="Caption"/>
        <w:jc w:val="left"/>
        <w:rPr>
          <w:sz w:val="22"/>
        </w:rPr>
      </w:pPr>
      <w:bookmarkStart w:id="0" w:name="_Ref386726439"/>
      <w:bookmarkStart w:id="1" w:name="_Toc384890666"/>
      <w:bookmarkStart w:id="2" w:name="_Toc384890681"/>
      <w:bookmarkStart w:id="3" w:name="_Toc387271889"/>
      <w:bookmarkStart w:id="4" w:name="_Toc387936480"/>
      <w:bookmarkStart w:id="5" w:name="_GoBack"/>
      <w:bookmarkEnd w:id="5"/>
    </w:p>
    <w:p w:rsidR="009F03AF" w:rsidRPr="009F03AF" w:rsidRDefault="009F03AF" w:rsidP="009F03AF">
      <w:pPr>
        <w:pStyle w:val="Caption"/>
        <w:rPr>
          <w:color w:val="auto"/>
          <w:sz w:val="22"/>
        </w:rPr>
      </w:pPr>
      <w:r w:rsidRPr="009F03AF">
        <w:rPr>
          <w:color w:val="auto"/>
          <w:sz w:val="22"/>
        </w:rPr>
        <w:t>Federal Appliance and Equipment Standards</w:t>
      </w:r>
    </w:p>
    <w:p w:rsidR="009F03AF" w:rsidRPr="009F03AF" w:rsidRDefault="009F03AF" w:rsidP="009F03AF">
      <w:pPr>
        <w:pStyle w:val="Caption"/>
        <w:rPr>
          <w:color w:val="auto"/>
          <w:sz w:val="22"/>
        </w:rPr>
      </w:pPr>
      <w:r w:rsidRPr="009F03AF">
        <w:rPr>
          <w:color w:val="auto"/>
          <w:sz w:val="22"/>
        </w:rPr>
        <w:t>Conservation Resource Advisory Committee (CRAC) Meeting</w:t>
      </w:r>
    </w:p>
    <w:p w:rsidR="009F03AF" w:rsidRPr="009F03AF" w:rsidRDefault="009F03AF" w:rsidP="009F03AF">
      <w:pPr>
        <w:jc w:val="center"/>
        <w:rPr>
          <w:bCs/>
          <w:sz w:val="22"/>
          <w:szCs w:val="20"/>
        </w:rPr>
      </w:pPr>
      <w:r w:rsidRPr="009F03AF">
        <w:rPr>
          <w:bCs/>
          <w:sz w:val="22"/>
          <w:szCs w:val="20"/>
        </w:rPr>
        <w:t>June 4</w:t>
      </w:r>
      <w:r w:rsidR="00CA1FB8" w:rsidRPr="00CA1FB8">
        <w:rPr>
          <w:bCs/>
          <w:sz w:val="22"/>
          <w:szCs w:val="20"/>
          <w:vertAlign w:val="superscript"/>
        </w:rPr>
        <w:t>th</w:t>
      </w:r>
      <w:r w:rsidRPr="009F03AF">
        <w:rPr>
          <w:bCs/>
          <w:sz w:val="22"/>
          <w:szCs w:val="20"/>
        </w:rPr>
        <w:t>, 2014</w:t>
      </w:r>
    </w:p>
    <w:p w:rsidR="009F03AF" w:rsidRDefault="009F03AF" w:rsidP="009F03AF">
      <w:pPr>
        <w:pStyle w:val="Caption"/>
      </w:pPr>
    </w:p>
    <w:p w:rsidR="009F03AF" w:rsidRPr="009F03AF" w:rsidRDefault="009F03AF" w:rsidP="009F03AF">
      <w:pPr>
        <w:pStyle w:val="Caption"/>
        <w:jc w:val="left"/>
        <w:rPr>
          <w:color w:val="auto"/>
        </w:rPr>
      </w:pPr>
      <w:r w:rsidRPr="009F03AF">
        <w:rPr>
          <w:color w:val="auto"/>
        </w:rPr>
        <w:t>Savin</w:t>
      </w:r>
      <w:r w:rsidR="00DD5D3C">
        <w:rPr>
          <w:color w:val="auto"/>
        </w:rPr>
        <w:t xml:space="preserve">gs </w:t>
      </w:r>
      <w:r w:rsidR="0044064A">
        <w:rPr>
          <w:color w:val="auto"/>
        </w:rPr>
        <w:t xml:space="preserve">from Standards </w:t>
      </w:r>
      <w:r w:rsidR="00DD5D3C">
        <w:rPr>
          <w:color w:val="auto"/>
        </w:rPr>
        <w:t xml:space="preserve">in Residential, Commercial &amp; </w:t>
      </w:r>
      <w:r w:rsidRPr="009F03AF">
        <w:rPr>
          <w:color w:val="auto"/>
        </w:rPr>
        <w:t xml:space="preserve">Industrial Sectors </w:t>
      </w:r>
    </w:p>
    <w:p w:rsidR="009F03AF" w:rsidRDefault="009F03AF" w:rsidP="009F03AF">
      <w:r>
        <w:t>Table 1 and Table 2 summarize standard</w:t>
      </w:r>
      <w:r w:rsidR="0044064A">
        <w:t>s</w:t>
      </w:r>
      <w:r>
        <w:t xml:space="preserve"> savings in the Residential, Commercial &amp; Industrial sectors during and after the Sixth Power Plan time frame.</w:t>
      </w:r>
      <w:r w:rsidR="0044064A">
        <w:t xml:space="preserve"> These savings only include those savings above the Council’s Sixth Power Plan baseline.</w:t>
      </w:r>
    </w:p>
    <w:p w:rsidR="009F03AF" w:rsidRPr="009F03AF" w:rsidRDefault="009F03AF" w:rsidP="009F03AF"/>
    <w:p w:rsidR="009F03AF" w:rsidRDefault="009F03AF" w:rsidP="009F03AF">
      <w:pPr>
        <w:pStyle w:val="Caption"/>
      </w:pPr>
      <w:r>
        <w:t xml:space="preserve">Table </w:t>
      </w:r>
      <w:bookmarkEnd w:id="0"/>
      <w:r>
        <w:t>1. Residential Standards Savings (</w:t>
      </w:r>
      <w:proofErr w:type="spellStart"/>
      <w:r>
        <w:t>aMW</w:t>
      </w:r>
      <w:bookmarkEnd w:id="1"/>
      <w:bookmarkEnd w:id="2"/>
      <w:bookmarkEnd w:id="3"/>
      <w:proofErr w:type="spellEnd"/>
      <w:r>
        <w:t>)</w:t>
      </w:r>
      <w:bookmarkEnd w:id="4"/>
      <w:r w:rsidR="0044064A">
        <w:t>, above Sixth Plan baseline</w:t>
      </w:r>
      <w:r w:rsidR="00BD19E0">
        <w:t>, without Busbar</w:t>
      </w:r>
    </w:p>
    <w:tbl>
      <w:tblPr>
        <w:tblStyle w:val="EnergyTable"/>
        <w:tblW w:w="6002" w:type="dxa"/>
        <w:tblLook w:val="04E0" w:firstRow="1" w:lastRow="1" w:firstColumn="1" w:lastColumn="0" w:noHBand="0" w:noVBand="1"/>
      </w:tblPr>
      <w:tblGrid>
        <w:gridCol w:w="2827"/>
        <w:gridCol w:w="1587"/>
        <w:gridCol w:w="1588"/>
      </w:tblGrid>
      <w:tr w:rsidR="0044064A" w:rsidRPr="001C0A87" w:rsidTr="00FE2DDE">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827" w:type="dxa"/>
            <w:vMerge w:val="restart"/>
            <w:tcBorders>
              <w:top w:val="nil"/>
              <w:right w:val="nil"/>
            </w:tcBorders>
          </w:tcPr>
          <w:p w:rsidR="0044064A" w:rsidRPr="001C0A87" w:rsidRDefault="0044064A" w:rsidP="0050700F">
            <w:pPr>
              <w:keepNext/>
              <w:keepLines/>
              <w:rPr>
                <w:rFonts w:ascii="Arial Narrow" w:hAnsi="Arial Narrow"/>
                <w:szCs w:val="20"/>
              </w:rPr>
            </w:pPr>
            <w:r w:rsidRPr="001C0A87">
              <w:rPr>
                <w:rFonts w:ascii="Arial Narrow" w:hAnsi="Arial Narrow"/>
                <w:szCs w:val="20"/>
              </w:rPr>
              <w:t>Product</w:t>
            </w:r>
          </w:p>
        </w:tc>
        <w:tc>
          <w:tcPr>
            <w:tcW w:w="3175" w:type="dxa"/>
            <w:gridSpan w:val="2"/>
            <w:tcBorders>
              <w:top w:val="nil"/>
              <w:left w:val="nil"/>
              <w:bottom w:val="single" w:sz="8" w:space="0" w:color="DDD9C3"/>
              <w:right w:val="nil"/>
            </w:tcBorders>
          </w:tcPr>
          <w:p w:rsidR="0044064A" w:rsidRPr="001C0A87" w:rsidRDefault="0044064A" w:rsidP="0050700F">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szCs w:val="20"/>
              </w:rPr>
            </w:pPr>
            <w:r w:rsidRPr="001C0A87">
              <w:rPr>
                <w:rFonts w:ascii="Arial Narrow" w:hAnsi="Arial Narrow"/>
                <w:szCs w:val="20"/>
              </w:rPr>
              <w:t>Region</w:t>
            </w:r>
          </w:p>
        </w:tc>
      </w:tr>
      <w:tr w:rsidR="0044064A" w:rsidRPr="001C0A87" w:rsidTr="00FE2DDE">
        <w:trPr>
          <w:trHeight w:val="535"/>
        </w:trPr>
        <w:tc>
          <w:tcPr>
            <w:cnfStyle w:val="001000000000" w:firstRow="0" w:lastRow="0" w:firstColumn="1" w:lastColumn="0" w:oddVBand="0" w:evenVBand="0" w:oddHBand="0" w:evenHBand="0" w:firstRowFirstColumn="0" w:firstRowLastColumn="0" w:lastRowFirstColumn="0" w:lastRowLastColumn="0"/>
            <w:tcW w:w="2827" w:type="dxa"/>
            <w:vMerge/>
            <w:tcBorders>
              <w:bottom w:val="single" w:sz="8" w:space="0" w:color="365F91" w:themeColor="accent1" w:themeShade="BF"/>
              <w:right w:val="nil"/>
            </w:tcBorders>
            <w:shd w:val="clear" w:color="auto" w:fill="C4BC96" w:themeFill="background2" w:themeFillShade="BF"/>
          </w:tcPr>
          <w:p w:rsidR="0044064A" w:rsidRPr="001C0A87" w:rsidRDefault="0044064A" w:rsidP="0050700F">
            <w:pPr>
              <w:keepNext/>
              <w:keepLines/>
              <w:rPr>
                <w:rFonts w:ascii="Arial Narrow" w:hAnsi="Arial Narrow"/>
                <w:szCs w:val="20"/>
              </w:rPr>
            </w:pPr>
          </w:p>
        </w:tc>
        <w:tc>
          <w:tcPr>
            <w:tcW w:w="1587" w:type="dxa"/>
            <w:tcBorders>
              <w:top w:val="single" w:sz="8" w:space="0" w:color="DDD9C3"/>
              <w:left w:val="nil"/>
              <w:bottom w:val="single" w:sz="8" w:space="0" w:color="365F91" w:themeColor="accent1" w:themeShade="BF"/>
              <w:right w:val="nil"/>
            </w:tcBorders>
            <w:shd w:val="clear" w:color="auto" w:fill="C4BC96" w:themeFill="background2" w:themeFillShade="BF"/>
          </w:tcPr>
          <w:p w:rsidR="0044064A" w:rsidRPr="001C0A87" w:rsidRDefault="0044064A" w:rsidP="0050700F">
            <w:pPr>
              <w:keepNext/>
              <w:keepLines/>
              <w:cnfStyle w:val="000000000000" w:firstRow="0" w:lastRow="0" w:firstColumn="0" w:lastColumn="0" w:oddVBand="0" w:evenVBand="0" w:oddHBand="0" w:evenHBand="0" w:firstRowFirstColumn="0" w:firstRowLastColumn="0" w:lastRowFirstColumn="0" w:lastRowLastColumn="0"/>
              <w:rPr>
                <w:rFonts w:ascii="Arial Narrow" w:hAnsi="Arial Narrow"/>
                <w:b/>
                <w:color w:val="FFFFFF" w:themeColor="background1"/>
                <w:szCs w:val="20"/>
              </w:rPr>
            </w:pPr>
            <w:r w:rsidRPr="001C0A87">
              <w:rPr>
                <w:rFonts w:ascii="Arial Narrow" w:hAnsi="Arial Narrow"/>
                <w:b/>
                <w:color w:val="FFFFFF" w:themeColor="background1"/>
                <w:szCs w:val="20"/>
              </w:rPr>
              <w:t>2010-201</w:t>
            </w:r>
            <w:r>
              <w:rPr>
                <w:rFonts w:ascii="Arial Narrow" w:hAnsi="Arial Narrow"/>
                <w:b/>
                <w:color w:val="FFFFFF" w:themeColor="background1"/>
                <w:szCs w:val="20"/>
              </w:rPr>
              <w:t>5</w:t>
            </w:r>
          </w:p>
        </w:tc>
        <w:tc>
          <w:tcPr>
            <w:tcW w:w="1588" w:type="dxa"/>
            <w:tcBorders>
              <w:top w:val="single" w:sz="8" w:space="0" w:color="DDD9C3"/>
              <w:left w:val="nil"/>
              <w:bottom w:val="single" w:sz="8" w:space="0" w:color="365F91" w:themeColor="accent1" w:themeShade="BF"/>
              <w:right w:val="nil"/>
            </w:tcBorders>
            <w:shd w:val="clear" w:color="auto" w:fill="C4BC96" w:themeFill="background2" w:themeFillShade="BF"/>
          </w:tcPr>
          <w:p w:rsidR="0044064A" w:rsidRPr="001C0A87" w:rsidRDefault="0044064A" w:rsidP="009F03AF">
            <w:pPr>
              <w:keepNext/>
              <w:keepLines/>
              <w:cnfStyle w:val="000000000000" w:firstRow="0" w:lastRow="0" w:firstColumn="0" w:lastColumn="0" w:oddVBand="0" w:evenVBand="0" w:oddHBand="0" w:evenHBand="0" w:firstRowFirstColumn="0" w:firstRowLastColumn="0" w:lastRowFirstColumn="0" w:lastRowLastColumn="0"/>
              <w:rPr>
                <w:rFonts w:ascii="Arial Narrow" w:hAnsi="Arial Narrow"/>
                <w:b/>
                <w:color w:val="FFFFFF" w:themeColor="background1"/>
                <w:szCs w:val="20"/>
              </w:rPr>
            </w:pPr>
            <w:r w:rsidRPr="001C0A87">
              <w:rPr>
                <w:rFonts w:ascii="Arial Narrow" w:hAnsi="Arial Narrow"/>
                <w:b/>
                <w:color w:val="FFFFFF" w:themeColor="background1"/>
                <w:szCs w:val="20"/>
              </w:rPr>
              <w:t>201</w:t>
            </w:r>
            <w:r>
              <w:rPr>
                <w:rFonts w:ascii="Arial Narrow" w:hAnsi="Arial Narrow"/>
                <w:b/>
                <w:color w:val="FFFFFF" w:themeColor="background1"/>
                <w:szCs w:val="20"/>
              </w:rPr>
              <w:t>6</w:t>
            </w:r>
            <w:r w:rsidRPr="001C0A87">
              <w:rPr>
                <w:rFonts w:ascii="Arial Narrow" w:hAnsi="Arial Narrow"/>
                <w:b/>
                <w:color w:val="FFFFFF" w:themeColor="background1"/>
                <w:szCs w:val="20"/>
              </w:rPr>
              <w:t>-2034</w:t>
            </w:r>
          </w:p>
        </w:tc>
      </w:tr>
      <w:tr w:rsidR="0044064A" w:rsidRPr="001C0A87" w:rsidTr="00FE2DDE">
        <w:trPr>
          <w:cnfStyle w:val="000000010000" w:firstRow="0" w:lastRow="0" w:firstColumn="0" w:lastColumn="0" w:oddVBand="0" w:evenVBand="0" w:oddHBand="0" w:evenHBand="1"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27" w:type="dxa"/>
            <w:tcBorders>
              <w:top w:val="single" w:sz="8" w:space="0" w:color="365F91" w:themeColor="accent1" w:themeShade="BF"/>
              <w:bottom w:val="nil"/>
              <w:right w:val="single" w:sz="8" w:space="0" w:color="92876D"/>
            </w:tcBorders>
          </w:tcPr>
          <w:p w:rsidR="0044064A" w:rsidRPr="001C0A87" w:rsidRDefault="0044064A" w:rsidP="0050700F">
            <w:pPr>
              <w:keepNext/>
              <w:keepLines/>
              <w:rPr>
                <w:rFonts w:ascii="Arial Narrow" w:hAnsi="Arial Narrow"/>
                <w:noProof/>
                <w:szCs w:val="20"/>
              </w:rPr>
            </w:pPr>
            <w:r w:rsidRPr="001C0A87">
              <w:rPr>
                <w:rFonts w:ascii="Arial Narrow" w:hAnsi="Arial Narrow"/>
                <w:noProof/>
                <w:szCs w:val="20"/>
              </w:rPr>
              <w:t>Residential Dishwashers</w:t>
            </w:r>
          </w:p>
        </w:tc>
        <w:tc>
          <w:tcPr>
            <w:tcW w:w="1587" w:type="dxa"/>
            <w:tcBorders>
              <w:top w:val="single" w:sz="8" w:space="0" w:color="365F91" w:themeColor="accent1" w:themeShade="BF"/>
              <w:left w:val="single" w:sz="8" w:space="0" w:color="92876D"/>
              <w:bottom w:val="nil"/>
              <w:right w:val="nil"/>
            </w:tcBorders>
          </w:tcPr>
          <w:p w:rsidR="0044064A" w:rsidRPr="001C0A87" w:rsidRDefault="0044064A" w:rsidP="0050700F">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noProof/>
                <w:szCs w:val="20"/>
              </w:rPr>
            </w:pPr>
            <w:r>
              <w:rPr>
                <w:rFonts w:ascii="Arial Narrow" w:hAnsi="Arial Narrow"/>
                <w:noProof/>
                <w:szCs w:val="20"/>
              </w:rPr>
              <w:t>1.33</w:t>
            </w:r>
          </w:p>
        </w:tc>
        <w:tc>
          <w:tcPr>
            <w:tcW w:w="1588" w:type="dxa"/>
            <w:tcBorders>
              <w:top w:val="single" w:sz="8" w:space="0" w:color="365F91" w:themeColor="accent1" w:themeShade="BF"/>
              <w:left w:val="nil"/>
              <w:bottom w:val="nil"/>
              <w:right w:val="single" w:sz="8" w:space="0" w:color="92876D"/>
            </w:tcBorders>
          </w:tcPr>
          <w:p w:rsidR="0044064A" w:rsidRPr="001C0A87" w:rsidRDefault="0044064A" w:rsidP="0050700F">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noProof/>
                <w:szCs w:val="20"/>
              </w:rPr>
            </w:pPr>
            <w:r>
              <w:rPr>
                <w:rFonts w:ascii="Arial Narrow" w:hAnsi="Arial Narrow"/>
                <w:noProof/>
                <w:szCs w:val="20"/>
              </w:rPr>
              <w:t>6.28</w:t>
            </w:r>
          </w:p>
        </w:tc>
      </w:tr>
      <w:tr w:rsidR="0044064A" w:rsidRPr="001C0A87" w:rsidTr="00FE2DDE">
        <w:trPr>
          <w:trHeight w:val="279"/>
        </w:trPr>
        <w:tc>
          <w:tcPr>
            <w:cnfStyle w:val="001000000000" w:firstRow="0" w:lastRow="0" w:firstColumn="1" w:lastColumn="0" w:oddVBand="0" w:evenVBand="0" w:oddHBand="0" w:evenHBand="0" w:firstRowFirstColumn="0" w:firstRowLastColumn="0" w:lastRowFirstColumn="0" w:lastRowLastColumn="0"/>
            <w:tcW w:w="2827" w:type="dxa"/>
            <w:tcBorders>
              <w:top w:val="nil"/>
              <w:bottom w:val="nil"/>
              <w:right w:val="single" w:sz="8" w:space="0" w:color="92876D"/>
            </w:tcBorders>
          </w:tcPr>
          <w:p w:rsidR="0044064A" w:rsidRPr="001C0A87" w:rsidRDefault="0044064A" w:rsidP="0050700F">
            <w:pPr>
              <w:keepNext/>
              <w:keepLines/>
              <w:rPr>
                <w:rFonts w:ascii="Arial Narrow" w:hAnsi="Arial Narrow"/>
                <w:noProof/>
                <w:szCs w:val="20"/>
              </w:rPr>
            </w:pPr>
            <w:r w:rsidRPr="001C0A87">
              <w:rPr>
                <w:rFonts w:ascii="Arial Narrow" w:hAnsi="Arial Narrow"/>
                <w:noProof/>
                <w:szCs w:val="20"/>
              </w:rPr>
              <w:t>Residential Refrigerators</w:t>
            </w:r>
          </w:p>
        </w:tc>
        <w:tc>
          <w:tcPr>
            <w:tcW w:w="1587" w:type="dxa"/>
            <w:tcBorders>
              <w:top w:val="nil"/>
              <w:left w:val="single" w:sz="8" w:space="0" w:color="92876D"/>
              <w:bottom w:val="nil"/>
              <w:right w:val="nil"/>
            </w:tcBorders>
          </w:tcPr>
          <w:p w:rsidR="0044064A" w:rsidRPr="001C0A87" w:rsidRDefault="0044064A" w:rsidP="0050700F">
            <w:pPr>
              <w:keepNext/>
              <w:keepLines/>
              <w:cnfStyle w:val="000000000000" w:firstRow="0" w:lastRow="0" w:firstColumn="0" w:lastColumn="0" w:oddVBand="0" w:evenVBand="0" w:oddHBand="0" w:evenHBand="0" w:firstRowFirstColumn="0" w:firstRowLastColumn="0" w:lastRowFirstColumn="0" w:lastRowLastColumn="0"/>
              <w:rPr>
                <w:rFonts w:ascii="Arial Narrow" w:hAnsi="Arial Narrow"/>
                <w:noProof/>
                <w:szCs w:val="20"/>
              </w:rPr>
            </w:pPr>
            <w:r>
              <w:rPr>
                <w:rFonts w:ascii="Arial Narrow" w:hAnsi="Arial Narrow"/>
                <w:noProof/>
                <w:szCs w:val="20"/>
              </w:rPr>
              <w:t>7.36</w:t>
            </w:r>
          </w:p>
        </w:tc>
        <w:tc>
          <w:tcPr>
            <w:tcW w:w="1588" w:type="dxa"/>
            <w:tcBorders>
              <w:top w:val="nil"/>
              <w:left w:val="nil"/>
              <w:bottom w:val="nil"/>
              <w:right w:val="single" w:sz="8" w:space="0" w:color="92876D"/>
            </w:tcBorders>
          </w:tcPr>
          <w:p w:rsidR="0044064A" w:rsidRPr="001C0A87" w:rsidRDefault="0044064A" w:rsidP="0050700F">
            <w:pPr>
              <w:keepNext/>
              <w:keepLines/>
              <w:cnfStyle w:val="000000000000" w:firstRow="0" w:lastRow="0" w:firstColumn="0" w:lastColumn="0" w:oddVBand="0" w:evenVBand="0" w:oddHBand="0" w:evenHBand="0" w:firstRowFirstColumn="0" w:firstRowLastColumn="0" w:lastRowFirstColumn="0" w:lastRowLastColumn="0"/>
              <w:rPr>
                <w:rFonts w:ascii="Arial Narrow" w:hAnsi="Arial Narrow"/>
                <w:noProof/>
                <w:szCs w:val="20"/>
              </w:rPr>
            </w:pPr>
            <w:r>
              <w:rPr>
                <w:rFonts w:ascii="Arial Narrow" w:hAnsi="Arial Narrow"/>
                <w:noProof/>
                <w:szCs w:val="20"/>
              </w:rPr>
              <w:t>128.48</w:t>
            </w:r>
          </w:p>
        </w:tc>
      </w:tr>
      <w:tr w:rsidR="0044064A" w:rsidRPr="001C0A87" w:rsidTr="00FE2DDE">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827" w:type="dxa"/>
            <w:tcBorders>
              <w:top w:val="nil"/>
              <w:bottom w:val="nil"/>
              <w:right w:val="single" w:sz="8" w:space="0" w:color="92876D"/>
            </w:tcBorders>
          </w:tcPr>
          <w:p w:rsidR="0044064A" w:rsidRPr="001C0A87" w:rsidRDefault="0044064A" w:rsidP="0050700F">
            <w:pPr>
              <w:keepNext/>
              <w:keepLines/>
              <w:rPr>
                <w:rFonts w:ascii="Arial Narrow" w:hAnsi="Arial Narrow"/>
                <w:noProof/>
                <w:szCs w:val="20"/>
              </w:rPr>
            </w:pPr>
            <w:r w:rsidRPr="001C0A87">
              <w:rPr>
                <w:rFonts w:ascii="Arial Narrow" w:hAnsi="Arial Narrow"/>
                <w:noProof/>
                <w:szCs w:val="20"/>
              </w:rPr>
              <w:t>Residential Freezers</w:t>
            </w:r>
          </w:p>
        </w:tc>
        <w:tc>
          <w:tcPr>
            <w:tcW w:w="1587" w:type="dxa"/>
            <w:tcBorders>
              <w:top w:val="nil"/>
              <w:left w:val="single" w:sz="8" w:space="0" w:color="92876D"/>
              <w:bottom w:val="nil"/>
              <w:right w:val="nil"/>
            </w:tcBorders>
          </w:tcPr>
          <w:p w:rsidR="0044064A" w:rsidRPr="001C0A87" w:rsidRDefault="0044064A" w:rsidP="0050700F">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noProof/>
                <w:szCs w:val="20"/>
              </w:rPr>
            </w:pPr>
            <w:r>
              <w:rPr>
                <w:rFonts w:ascii="Arial Narrow" w:hAnsi="Arial Narrow"/>
                <w:noProof/>
                <w:szCs w:val="20"/>
              </w:rPr>
              <w:t>1.33</w:t>
            </w:r>
          </w:p>
        </w:tc>
        <w:tc>
          <w:tcPr>
            <w:tcW w:w="1588" w:type="dxa"/>
            <w:tcBorders>
              <w:top w:val="nil"/>
              <w:left w:val="nil"/>
              <w:bottom w:val="nil"/>
              <w:right w:val="single" w:sz="8" w:space="0" w:color="92876D"/>
            </w:tcBorders>
          </w:tcPr>
          <w:p w:rsidR="0044064A" w:rsidRPr="001C0A87" w:rsidRDefault="0044064A" w:rsidP="0050700F">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noProof/>
                <w:szCs w:val="20"/>
              </w:rPr>
            </w:pPr>
            <w:r>
              <w:rPr>
                <w:rFonts w:ascii="Arial Narrow" w:hAnsi="Arial Narrow"/>
                <w:noProof/>
                <w:szCs w:val="20"/>
              </w:rPr>
              <w:t>27.95</w:t>
            </w:r>
          </w:p>
        </w:tc>
      </w:tr>
      <w:tr w:rsidR="0044064A" w:rsidRPr="001C0A87" w:rsidTr="00FE2DDE">
        <w:trPr>
          <w:trHeight w:val="279"/>
        </w:trPr>
        <w:tc>
          <w:tcPr>
            <w:cnfStyle w:val="001000000000" w:firstRow="0" w:lastRow="0" w:firstColumn="1" w:lastColumn="0" w:oddVBand="0" w:evenVBand="0" w:oddHBand="0" w:evenHBand="0" w:firstRowFirstColumn="0" w:firstRowLastColumn="0" w:lastRowFirstColumn="0" w:lastRowLastColumn="0"/>
            <w:tcW w:w="2827" w:type="dxa"/>
            <w:tcBorders>
              <w:top w:val="nil"/>
              <w:bottom w:val="nil"/>
              <w:right w:val="single" w:sz="8" w:space="0" w:color="92876D"/>
            </w:tcBorders>
          </w:tcPr>
          <w:p w:rsidR="0044064A" w:rsidRPr="001C0A87" w:rsidRDefault="0044064A" w:rsidP="0050700F">
            <w:pPr>
              <w:keepNext/>
              <w:keepLines/>
              <w:rPr>
                <w:rFonts w:ascii="Arial Narrow" w:hAnsi="Arial Narrow"/>
                <w:noProof/>
                <w:szCs w:val="20"/>
              </w:rPr>
            </w:pPr>
            <w:r w:rsidRPr="001C0A87">
              <w:rPr>
                <w:rFonts w:ascii="Arial Narrow" w:hAnsi="Arial Narrow"/>
                <w:noProof/>
                <w:szCs w:val="20"/>
              </w:rPr>
              <w:t>External Power Supplies</w:t>
            </w:r>
          </w:p>
        </w:tc>
        <w:tc>
          <w:tcPr>
            <w:tcW w:w="1587" w:type="dxa"/>
            <w:tcBorders>
              <w:top w:val="nil"/>
              <w:left w:val="single" w:sz="8" w:space="0" w:color="92876D"/>
              <w:bottom w:val="nil"/>
              <w:right w:val="nil"/>
            </w:tcBorders>
          </w:tcPr>
          <w:p w:rsidR="0044064A" w:rsidRPr="001C0A87" w:rsidRDefault="0044064A" w:rsidP="0050700F">
            <w:pPr>
              <w:keepNext/>
              <w:keepLines/>
              <w:cnfStyle w:val="000000000000" w:firstRow="0" w:lastRow="0" w:firstColumn="0" w:lastColumn="0" w:oddVBand="0" w:evenVBand="0" w:oddHBand="0" w:evenHBand="0" w:firstRowFirstColumn="0" w:firstRowLastColumn="0" w:lastRowFirstColumn="0" w:lastRowLastColumn="0"/>
              <w:rPr>
                <w:rFonts w:ascii="Arial Narrow" w:hAnsi="Arial Narrow"/>
                <w:noProof/>
                <w:szCs w:val="20"/>
              </w:rPr>
            </w:pPr>
            <w:r w:rsidRPr="001C0A87">
              <w:rPr>
                <w:rFonts w:ascii="Arial Narrow" w:hAnsi="Arial Narrow"/>
                <w:noProof/>
                <w:szCs w:val="20"/>
              </w:rPr>
              <w:t>0.0</w:t>
            </w:r>
          </w:p>
        </w:tc>
        <w:tc>
          <w:tcPr>
            <w:tcW w:w="1588" w:type="dxa"/>
            <w:tcBorders>
              <w:top w:val="nil"/>
              <w:left w:val="nil"/>
              <w:bottom w:val="nil"/>
              <w:right w:val="single" w:sz="8" w:space="0" w:color="92876D"/>
            </w:tcBorders>
          </w:tcPr>
          <w:p w:rsidR="0044064A" w:rsidRPr="001C0A87" w:rsidRDefault="0044064A" w:rsidP="0050700F">
            <w:pPr>
              <w:keepNext/>
              <w:keepLines/>
              <w:cnfStyle w:val="000000000000" w:firstRow="0" w:lastRow="0" w:firstColumn="0" w:lastColumn="0" w:oddVBand="0" w:evenVBand="0" w:oddHBand="0" w:evenHBand="0" w:firstRowFirstColumn="0" w:firstRowLastColumn="0" w:lastRowFirstColumn="0" w:lastRowLastColumn="0"/>
              <w:rPr>
                <w:rFonts w:ascii="Arial Narrow" w:hAnsi="Arial Narrow"/>
                <w:noProof/>
                <w:szCs w:val="20"/>
              </w:rPr>
            </w:pPr>
            <w:r w:rsidRPr="001C0A87">
              <w:rPr>
                <w:rFonts w:ascii="Arial Narrow" w:hAnsi="Arial Narrow"/>
                <w:noProof/>
                <w:szCs w:val="20"/>
              </w:rPr>
              <w:t>0.0</w:t>
            </w:r>
          </w:p>
        </w:tc>
      </w:tr>
      <w:tr w:rsidR="0044064A" w:rsidRPr="001C0A87" w:rsidTr="00FE2DDE">
        <w:trPr>
          <w:cnfStyle w:val="000000010000" w:firstRow="0" w:lastRow="0" w:firstColumn="0" w:lastColumn="0" w:oddVBand="0" w:evenVBand="0" w:oddHBand="0" w:evenHBand="1"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27" w:type="dxa"/>
            <w:tcBorders>
              <w:top w:val="nil"/>
              <w:bottom w:val="nil"/>
              <w:right w:val="single" w:sz="8" w:space="0" w:color="92876D"/>
            </w:tcBorders>
          </w:tcPr>
          <w:p w:rsidR="0044064A" w:rsidRPr="001C0A87" w:rsidRDefault="0044064A" w:rsidP="0050700F">
            <w:pPr>
              <w:keepNext/>
              <w:keepLines/>
              <w:rPr>
                <w:rFonts w:ascii="Arial Narrow" w:hAnsi="Arial Narrow"/>
                <w:noProof/>
                <w:szCs w:val="20"/>
              </w:rPr>
            </w:pPr>
            <w:r w:rsidRPr="001C0A87">
              <w:rPr>
                <w:rFonts w:ascii="Arial Narrow" w:hAnsi="Arial Narrow"/>
                <w:noProof/>
                <w:szCs w:val="20"/>
              </w:rPr>
              <w:t>Residential Clothes Washers</w:t>
            </w:r>
          </w:p>
        </w:tc>
        <w:tc>
          <w:tcPr>
            <w:tcW w:w="1587" w:type="dxa"/>
            <w:tcBorders>
              <w:top w:val="nil"/>
              <w:left w:val="single" w:sz="8" w:space="0" w:color="92876D"/>
              <w:bottom w:val="nil"/>
              <w:right w:val="nil"/>
            </w:tcBorders>
          </w:tcPr>
          <w:p w:rsidR="0044064A" w:rsidRPr="001C0A87" w:rsidRDefault="0044064A" w:rsidP="0050700F">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noProof/>
                <w:szCs w:val="20"/>
              </w:rPr>
            </w:pPr>
            <w:r w:rsidRPr="001C0A87">
              <w:rPr>
                <w:rFonts w:ascii="Arial Narrow" w:hAnsi="Arial Narrow"/>
                <w:noProof/>
                <w:szCs w:val="20"/>
              </w:rPr>
              <w:t>0.0</w:t>
            </w:r>
          </w:p>
        </w:tc>
        <w:tc>
          <w:tcPr>
            <w:tcW w:w="1588" w:type="dxa"/>
            <w:tcBorders>
              <w:top w:val="nil"/>
              <w:left w:val="nil"/>
              <w:bottom w:val="nil"/>
              <w:right w:val="single" w:sz="8" w:space="0" w:color="92876D"/>
            </w:tcBorders>
          </w:tcPr>
          <w:p w:rsidR="0044064A" w:rsidRPr="001C0A87" w:rsidRDefault="0044064A" w:rsidP="0050700F">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noProof/>
                <w:szCs w:val="20"/>
              </w:rPr>
            </w:pPr>
            <w:r w:rsidRPr="001C0A87">
              <w:rPr>
                <w:rFonts w:ascii="Arial Narrow" w:hAnsi="Arial Narrow"/>
                <w:noProof/>
                <w:szCs w:val="20"/>
              </w:rPr>
              <w:t>0.0</w:t>
            </w:r>
          </w:p>
        </w:tc>
      </w:tr>
      <w:tr w:rsidR="0044064A" w:rsidRPr="001C0A87" w:rsidTr="00FE2DDE">
        <w:trPr>
          <w:trHeight w:val="223"/>
        </w:trPr>
        <w:tc>
          <w:tcPr>
            <w:cnfStyle w:val="001000000000" w:firstRow="0" w:lastRow="0" w:firstColumn="1" w:lastColumn="0" w:oddVBand="0" w:evenVBand="0" w:oddHBand="0" w:evenHBand="0" w:firstRowFirstColumn="0" w:firstRowLastColumn="0" w:lastRowFirstColumn="0" w:lastRowLastColumn="0"/>
            <w:tcW w:w="2827" w:type="dxa"/>
            <w:tcBorders>
              <w:top w:val="nil"/>
              <w:bottom w:val="nil"/>
              <w:right w:val="single" w:sz="8" w:space="0" w:color="92876D"/>
            </w:tcBorders>
          </w:tcPr>
          <w:p w:rsidR="0044064A" w:rsidRPr="001C0A87" w:rsidRDefault="0044064A" w:rsidP="0050700F">
            <w:pPr>
              <w:keepNext/>
              <w:keepLines/>
              <w:rPr>
                <w:rFonts w:ascii="Arial Narrow" w:hAnsi="Arial Narrow"/>
                <w:noProof/>
                <w:szCs w:val="20"/>
              </w:rPr>
            </w:pPr>
            <w:r w:rsidRPr="001C0A87">
              <w:rPr>
                <w:rFonts w:ascii="Arial Narrow" w:hAnsi="Arial Narrow"/>
                <w:noProof/>
                <w:szCs w:val="20"/>
              </w:rPr>
              <w:t>Residential Water Heaters</w:t>
            </w:r>
          </w:p>
        </w:tc>
        <w:tc>
          <w:tcPr>
            <w:tcW w:w="1587" w:type="dxa"/>
            <w:tcBorders>
              <w:top w:val="nil"/>
              <w:left w:val="single" w:sz="8" w:space="0" w:color="92876D"/>
              <w:bottom w:val="nil"/>
              <w:right w:val="nil"/>
            </w:tcBorders>
          </w:tcPr>
          <w:p w:rsidR="0044064A" w:rsidRPr="001C0A87" w:rsidRDefault="0044064A" w:rsidP="0050700F">
            <w:pPr>
              <w:keepNext/>
              <w:keepLines/>
              <w:cnfStyle w:val="000000000000" w:firstRow="0" w:lastRow="0" w:firstColumn="0" w:lastColumn="0" w:oddVBand="0" w:evenVBand="0" w:oddHBand="0" w:evenHBand="0" w:firstRowFirstColumn="0" w:firstRowLastColumn="0" w:lastRowFirstColumn="0" w:lastRowLastColumn="0"/>
              <w:rPr>
                <w:rFonts w:ascii="Arial Narrow" w:hAnsi="Arial Narrow"/>
                <w:noProof/>
                <w:szCs w:val="20"/>
              </w:rPr>
            </w:pPr>
            <w:r>
              <w:rPr>
                <w:rFonts w:ascii="Arial Narrow" w:hAnsi="Arial Narrow"/>
                <w:noProof/>
                <w:szCs w:val="20"/>
              </w:rPr>
              <w:t>14.21</w:t>
            </w:r>
          </w:p>
        </w:tc>
        <w:tc>
          <w:tcPr>
            <w:tcW w:w="1588" w:type="dxa"/>
            <w:tcBorders>
              <w:top w:val="nil"/>
              <w:left w:val="nil"/>
              <w:bottom w:val="nil"/>
              <w:right w:val="single" w:sz="8" w:space="0" w:color="92876D"/>
            </w:tcBorders>
          </w:tcPr>
          <w:p w:rsidR="0044064A" w:rsidRPr="001C0A87" w:rsidRDefault="0044064A" w:rsidP="0050700F">
            <w:pPr>
              <w:keepNext/>
              <w:keepLines/>
              <w:cnfStyle w:val="000000000000" w:firstRow="0" w:lastRow="0" w:firstColumn="0" w:lastColumn="0" w:oddVBand="0" w:evenVBand="0" w:oddHBand="0" w:evenHBand="0" w:firstRowFirstColumn="0" w:firstRowLastColumn="0" w:lastRowFirstColumn="0" w:lastRowLastColumn="0"/>
              <w:rPr>
                <w:rFonts w:ascii="Arial Narrow" w:hAnsi="Arial Narrow"/>
                <w:noProof/>
                <w:szCs w:val="20"/>
              </w:rPr>
            </w:pPr>
            <w:r>
              <w:rPr>
                <w:rFonts w:ascii="Arial Narrow" w:hAnsi="Arial Narrow"/>
                <w:noProof/>
                <w:szCs w:val="20"/>
              </w:rPr>
              <w:t>182.01</w:t>
            </w:r>
          </w:p>
        </w:tc>
      </w:tr>
      <w:tr w:rsidR="0044064A" w:rsidRPr="001C0A87" w:rsidTr="00FE2DDE">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827" w:type="dxa"/>
            <w:tcBorders>
              <w:top w:val="nil"/>
              <w:bottom w:val="nil"/>
              <w:right w:val="single" w:sz="8" w:space="0" w:color="92876D"/>
            </w:tcBorders>
          </w:tcPr>
          <w:p w:rsidR="0044064A" w:rsidRPr="001C0A87" w:rsidRDefault="0044064A" w:rsidP="0050700F">
            <w:pPr>
              <w:keepNext/>
              <w:keepLines/>
              <w:rPr>
                <w:rFonts w:ascii="Arial Narrow" w:hAnsi="Arial Narrow"/>
                <w:noProof/>
                <w:szCs w:val="20"/>
              </w:rPr>
            </w:pPr>
            <w:r w:rsidRPr="001C0A87">
              <w:rPr>
                <w:rFonts w:ascii="Arial Narrow" w:hAnsi="Arial Narrow"/>
                <w:noProof/>
                <w:szCs w:val="20"/>
              </w:rPr>
              <w:t>Ceiling Fan Lighting Kits</w:t>
            </w:r>
          </w:p>
        </w:tc>
        <w:tc>
          <w:tcPr>
            <w:tcW w:w="1587" w:type="dxa"/>
            <w:tcBorders>
              <w:top w:val="nil"/>
              <w:left w:val="single" w:sz="8" w:space="0" w:color="92876D"/>
              <w:bottom w:val="nil"/>
              <w:right w:val="nil"/>
            </w:tcBorders>
          </w:tcPr>
          <w:p w:rsidR="0044064A" w:rsidRPr="001C0A87" w:rsidRDefault="0044064A" w:rsidP="0050700F">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noProof/>
                <w:szCs w:val="20"/>
              </w:rPr>
            </w:pPr>
            <w:r>
              <w:rPr>
                <w:rFonts w:ascii="Arial Narrow" w:hAnsi="Arial Narrow"/>
                <w:noProof/>
                <w:szCs w:val="20"/>
              </w:rPr>
              <w:t>3.44</w:t>
            </w:r>
          </w:p>
        </w:tc>
        <w:tc>
          <w:tcPr>
            <w:tcW w:w="1588" w:type="dxa"/>
            <w:tcBorders>
              <w:top w:val="nil"/>
              <w:left w:val="nil"/>
              <w:bottom w:val="nil"/>
              <w:right w:val="single" w:sz="8" w:space="0" w:color="92876D"/>
            </w:tcBorders>
          </w:tcPr>
          <w:p w:rsidR="0044064A" w:rsidRPr="001C0A87" w:rsidRDefault="0044064A" w:rsidP="0050700F">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noProof/>
                <w:szCs w:val="20"/>
              </w:rPr>
            </w:pPr>
            <w:r w:rsidRPr="001C0A87">
              <w:rPr>
                <w:rFonts w:ascii="Arial Narrow" w:hAnsi="Arial Narrow"/>
                <w:noProof/>
                <w:szCs w:val="20"/>
              </w:rPr>
              <w:t>4.</w:t>
            </w:r>
            <w:r>
              <w:rPr>
                <w:rFonts w:ascii="Arial Narrow" w:hAnsi="Arial Narrow"/>
                <w:noProof/>
                <w:szCs w:val="20"/>
              </w:rPr>
              <w:t>24</w:t>
            </w:r>
          </w:p>
        </w:tc>
      </w:tr>
      <w:tr w:rsidR="0044064A" w:rsidRPr="001C0A87" w:rsidTr="00FE2DDE">
        <w:trPr>
          <w:trHeight w:val="297"/>
        </w:trPr>
        <w:tc>
          <w:tcPr>
            <w:cnfStyle w:val="001000000000" w:firstRow="0" w:lastRow="0" w:firstColumn="1" w:lastColumn="0" w:oddVBand="0" w:evenVBand="0" w:oddHBand="0" w:evenHBand="0" w:firstRowFirstColumn="0" w:firstRowLastColumn="0" w:lastRowFirstColumn="0" w:lastRowLastColumn="0"/>
            <w:tcW w:w="2827" w:type="dxa"/>
            <w:tcBorders>
              <w:top w:val="nil"/>
              <w:bottom w:val="nil"/>
              <w:right w:val="single" w:sz="8" w:space="0" w:color="92876D"/>
            </w:tcBorders>
          </w:tcPr>
          <w:p w:rsidR="0044064A" w:rsidRPr="001C0A87" w:rsidRDefault="0044064A" w:rsidP="0050700F">
            <w:pPr>
              <w:keepNext/>
              <w:keepLines/>
              <w:rPr>
                <w:rFonts w:ascii="Arial Narrow" w:hAnsi="Arial Narrow"/>
                <w:noProof/>
                <w:szCs w:val="20"/>
              </w:rPr>
            </w:pPr>
            <w:r w:rsidRPr="001C0A87">
              <w:rPr>
                <w:rFonts w:ascii="Arial Narrow" w:hAnsi="Arial Narrow"/>
                <w:noProof/>
                <w:szCs w:val="20"/>
              </w:rPr>
              <w:t xml:space="preserve">Torchieres </w:t>
            </w:r>
          </w:p>
        </w:tc>
        <w:tc>
          <w:tcPr>
            <w:tcW w:w="1587" w:type="dxa"/>
            <w:tcBorders>
              <w:top w:val="nil"/>
              <w:left w:val="single" w:sz="8" w:space="0" w:color="92876D"/>
              <w:bottom w:val="nil"/>
              <w:right w:val="nil"/>
            </w:tcBorders>
          </w:tcPr>
          <w:p w:rsidR="0044064A" w:rsidRPr="001C0A87" w:rsidRDefault="0044064A" w:rsidP="0050700F">
            <w:pPr>
              <w:keepNext/>
              <w:keepLines/>
              <w:cnfStyle w:val="000000000000" w:firstRow="0" w:lastRow="0" w:firstColumn="0" w:lastColumn="0" w:oddVBand="0" w:evenVBand="0" w:oddHBand="0" w:evenHBand="0" w:firstRowFirstColumn="0" w:firstRowLastColumn="0" w:lastRowFirstColumn="0" w:lastRowLastColumn="0"/>
              <w:rPr>
                <w:rFonts w:ascii="Arial Narrow" w:hAnsi="Arial Narrow"/>
                <w:noProof/>
                <w:szCs w:val="20"/>
              </w:rPr>
            </w:pPr>
            <w:r w:rsidRPr="001C0A87">
              <w:rPr>
                <w:rFonts w:ascii="Arial Narrow" w:hAnsi="Arial Narrow"/>
                <w:noProof/>
                <w:szCs w:val="20"/>
              </w:rPr>
              <w:t>2.6</w:t>
            </w:r>
            <w:r>
              <w:rPr>
                <w:rFonts w:ascii="Arial Narrow" w:hAnsi="Arial Narrow"/>
                <w:noProof/>
                <w:szCs w:val="20"/>
              </w:rPr>
              <w:t>7</w:t>
            </w:r>
          </w:p>
        </w:tc>
        <w:tc>
          <w:tcPr>
            <w:tcW w:w="1588" w:type="dxa"/>
            <w:tcBorders>
              <w:top w:val="nil"/>
              <w:left w:val="nil"/>
              <w:bottom w:val="nil"/>
              <w:right w:val="single" w:sz="8" w:space="0" w:color="92876D"/>
            </w:tcBorders>
          </w:tcPr>
          <w:p w:rsidR="0044064A" w:rsidRPr="001C0A87" w:rsidRDefault="0044064A" w:rsidP="0050700F">
            <w:pPr>
              <w:keepNext/>
              <w:keepLines/>
              <w:cnfStyle w:val="000000000000" w:firstRow="0" w:lastRow="0" w:firstColumn="0" w:lastColumn="0" w:oddVBand="0" w:evenVBand="0" w:oddHBand="0" w:evenHBand="0" w:firstRowFirstColumn="0" w:firstRowLastColumn="0" w:lastRowFirstColumn="0" w:lastRowLastColumn="0"/>
              <w:rPr>
                <w:rFonts w:ascii="Arial Narrow" w:hAnsi="Arial Narrow"/>
                <w:noProof/>
                <w:szCs w:val="20"/>
              </w:rPr>
            </w:pPr>
            <w:r w:rsidRPr="001C0A87">
              <w:rPr>
                <w:rFonts w:ascii="Arial Narrow" w:hAnsi="Arial Narrow"/>
                <w:noProof/>
                <w:szCs w:val="20"/>
              </w:rPr>
              <w:t>1.1</w:t>
            </w:r>
            <w:r>
              <w:rPr>
                <w:rFonts w:ascii="Arial Narrow" w:hAnsi="Arial Narrow"/>
                <w:noProof/>
                <w:szCs w:val="20"/>
              </w:rPr>
              <w:t>1</w:t>
            </w:r>
          </w:p>
        </w:tc>
      </w:tr>
      <w:tr w:rsidR="0044064A" w:rsidRPr="001C0A87" w:rsidTr="00FE2DDE">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827" w:type="dxa"/>
            <w:tcBorders>
              <w:top w:val="nil"/>
              <w:bottom w:val="double" w:sz="4" w:space="0" w:color="92876D"/>
              <w:right w:val="single" w:sz="8" w:space="0" w:color="92876D"/>
            </w:tcBorders>
          </w:tcPr>
          <w:p w:rsidR="0044064A" w:rsidRPr="001C0A87" w:rsidRDefault="0044064A" w:rsidP="0050700F">
            <w:pPr>
              <w:keepNext/>
              <w:keepLines/>
              <w:rPr>
                <w:rFonts w:ascii="Arial Narrow" w:hAnsi="Arial Narrow"/>
                <w:noProof/>
                <w:szCs w:val="20"/>
              </w:rPr>
            </w:pPr>
            <w:r w:rsidRPr="001C0A87">
              <w:rPr>
                <w:rFonts w:ascii="Arial Narrow" w:hAnsi="Arial Narrow"/>
                <w:noProof/>
                <w:szCs w:val="20"/>
              </w:rPr>
              <w:t>Residential Heat Pumps</w:t>
            </w:r>
          </w:p>
        </w:tc>
        <w:tc>
          <w:tcPr>
            <w:tcW w:w="1587" w:type="dxa"/>
            <w:tcBorders>
              <w:top w:val="nil"/>
              <w:left w:val="single" w:sz="8" w:space="0" w:color="92876D"/>
              <w:bottom w:val="double" w:sz="4" w:space="0" w:color="92876D"/>
              <w:right w:val="nil"/>
            </w:tcBorders>
          </w:tcPr>
          <w:p w:rsidR="0044064A" w:rsidRPr="001C0A87" w:rsidRDefault="0044064A" w:rsidP="0050700F">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noProof/>
                <w:szCs w:val="20"/>
              </w:rPr>
            </w:pPr>
            <w:r>
              <w:rPr>
                <w:rFonts w:ascii="Arial Narrow" w:hAnsi="Arial Narrow"/>
                <w:noProof/>
                <w:szCs w:val="20"/>
              </w:rPr>
              <w:t>1.2</w:t>
            </w:r>
          </w:p>
        </w:tc>
        <w:tc>
          <w:tcPr>
            <w:tcW w:w="1588" w:type="dxa"/>
            <w:tcBorders>
              <w:top w:val="nil"/>
              <w:left w:val="nil"/>
              <w:bottom w:val="double" w:sz="4" w:space="0" w:color="92876D"/>
              <w:right w:val="single" w:sz="8" w:space="0" w:color="92876D"/>
            </w:tcBorders>
          </w:tcPr>
          <w:p w:rsidR="0044064A" w:rsidRPr="001C0A87" w:rsidRDefault="0044064A" w:rsidP="0050700F">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noProof/>
                <w:szCs w:val="20"/>
              </w:rPr>
            </w:pPr>
            <w:r>
              <w:rPr>
                <w:rFonts w:ascii="Arial Narrow" w:hAnsi="Arial Narrow"/>
                <w:noProof/>
                <w:szCs w:val="20"/>
              </w:rPr>
              <w:t>20.35</w:t>
            </w:r>
          </w:p>
        </w:tc>
      </w:tr>
      <w:tr w:rsidR="0044064A" w:rsidRPr="001C0A87" w:rsidTr="00FE2DDE">
        <w:trPr>
          <w:cnfStyle w:val="010000000000" w:firstRow="0" w:lastRow="1"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827" w:type="dxa"/>
            <w:tcBorders>
              <w:bottom w:val="single" w:sz="8" w:space="0" w:color="92876D"/>
              <w:right w:val="nil"/>
            </w:tcBorders>
          </w:tcPr>
          <w:p w:rsidR="0044064A" w:rsidRPr="001C0A87" w:rsidRDefault="0044064A" w:rsidP="0050700F">
            <w:pPr>
              <w:rPr>
                <w:rFonts w:ascii="Arial Narrow" w:hAnsi="Arial Narrow"/>
                <w:noProof/>
                <w:szCs w:val="20"/>
              </w:rPr>
            </w:pPr>
            <w:r w:rsidRPr="001C0A87">
              <w:rPr>
                <w:rFonts w:ascii="Arial Narrow" w:hAnsi="Arial Narrow"/>
                <w:noProof/>
                <w:szCs w:val="20"/>
              </w:rPr>
              <w:t>Total Residential</w:t>
            </w:r>
          </w:p>
        </w:tc>
        <w:tc>
          <w:tcPr>
            <w:tcW w:w="1587" w:type="dxa"/>
            <w:tcBorders>
              <w:left w:val="nil"/>
              <w:bottom w:val="single" w:sz="8" w:space="0" w:color="92876D"/>
              <w:right w:val="nil"/>
            </w:tcBorders>
          </w:tcPr>
          <w:p w:rsidR="0044064A" w:rsidRPr="001C0A87" w:rsidRDefault="0044064A" w:rsidP="0050700F">
            <w:pPr>
              <w:cnfStyle w:val="010000000000" w:firstRow="0" w:lastRow="1" w:firstColumn="0" w:lastColumn="0" w:oddVBand="0" w:evenVBand="0" w:oddHBand="0" w:evenHBand="0" w:firstRowFirstColumn="0" w:firstRowLastColumn="0" w:lastRowFirstColumn="0" w:lastRowLastColumn="0"/>
              <w:rPr>
                <w:rFonts w:ascii="Arial Narrow" w:hAnsi="Arial Narrow"/>
                <w:noProof/>
                <w:szCs w:val="20"/>
              </w:rPr>
            </w:pPr>
            <w:r>
              <w:rPr>
                <w:rFonts w:ascii="Arial Narrow" w:hAnsi="Arial Narrow"/>
                <w:noProof/>
                <w:szCs w:val="20"/>
              </w:rPr>
              <w:t>31.54</w:t>
            </w:r>
          </w:p>
        </w:tc>
        <w:tc>
          <w:tcPr>
            <w:tcW w:w="1588" w:type="dxa"/>
            <w:tcBorders>
              <w:left w:val="nil"/>
              <w:bottom w:val="single" w:sz="8" w:space="0" w:color="92876D"/>
              <w:right w:val="nil"/>
            </w:tcBorders>
          </w:tcPr>
          <w:p w:rsidR="0044064A" w:rsidRPr="001C0A87" w:rsidRDefault="0044064A" w:rsidP="0050700F">
            <w:pPr>
              <w:cnfStyle w:val="010000000000" w:firstRow="0" w:lastRow="1" w:firstColumn="0" w:lastColumn="0" w:oddVBand="0" w:evenVBand="0" w:oddHBand="0" w:evenHBand="0" w:firstRowFirstColumn="0" w:firstRowLastColumn="0" w:lastRowFirstColumn="0" w:lastRowLastColumn="0"/>
              <w:rPr>
                <w:rFonts w:ascii="Arial Narrow" w:hAnsi="Arial Narrow"/>
                <w:noProof/>
                <w:szCs w:val="20"/>
              </w:rPr>
            </w:pPr>
            <w:r>
              <w:rPr>
                <w:rFonts w:ascii="Arial Narrow" w:hAnsi="Arial Narrow"/>
                <w:noProof/>
                <w:szCs w:val="20"/>
              </w:rPr>
              <w:t>370.43</w:t>
            </w:r>
          </w:p>
        </w:tc>
      </w:tr>
    </w:tbl>
    <w:p w:rsidR="009F03AF" w:rsidRDefault="009F03AF"/>
    <w:p w:rsidR="009F03AF" w:rsidRDefault="009F03AF" w:rsidP="009F03AF">
      <w:pPr>
        <w:pStyle w:val="Caption"/>
      </w:pPr>
      <w:bookmarkStart w:id="6" w:name="_Ref386753788"/>
      <w:bookmarkStart w:id="7" w:name="_Toc384890670"/>
      <w:bookmarkStart w:id="8" w:name="_Toc384890685"/>
      <w:bookmarkStart w:id="9" w:name="_Toc387271890"/>
      <w:bookmarkStart w:id="10" w:name="_Toc387936481"/>
      <w:r>
        <w:t xml:space="preserve">Table </w:t>
      </w:r>
      <w:bookmarkEnd w:id="6"/>
      <w:r>
        <w:t>2. Commercial/Industrial Standards Savings (</w:t>
      </w:r>
      <w:proofErr w:type="spellStart"/>
      <w:r>
        <w:t>aMW</w:t>
      </w:r>
      <w:proofErr w:type="spellEnd"/>
      <w:r>
        <w:t>)</w:t>
      </w:r>
      <w:bookmarkEnd w:id="7"/>
      <w:bookmarkEnd w:id="8"/>
      <w:bookmarkEnd w:id="9"/>
      <w:bookmarkEnd w:id="10"/>
      <w:r w:rsidR="0044064A" w:rsidRPr="0044064A">
        <w:t xml:space="preserve"> </w:t>
      </w:r>
      <w:r w:rsidR="0044064A">
        <w:t>, above Sixth Plan baseline</w:t>
      </w:r>
      <w:r w:rsidR="00BD19E0">
        <w:t xml:space="preserve">, without </w:t>
      </w:r>
      <w:proofErr w:type="spellStart"/>
      <w:r w:rsidR="00BD19E0">
        <w:t>Busbar</w:t>
      </w:r>
      <w:proofErr w:type="spellEnd"/>
      <w:r w:rsidR="00BD19E0">
        <w:t xml:space="preserve"> </w:t>
      </w:r>
    </w:p>
    <w:tbl>
      <w:tblPr>
        <w:tblStyle w:val="EnergyTable"/>
        <w:tblW w:w="0" w:type="auto"/>
        <w:tblLook w:val="04E0" w:firstRow="1" w:lastRow="1" w:firstColumn="1" w:lastColumn="0" w:noHBand="0" w:noVBand="1"/>
      </w:tblPr>
      <w:tblGrid>
        <w:gridCol w:w="3730"/>
        <w:gridCol w:w="1364"/>
        <w:gridCol w:w="1364"/>
      </w:tblGrid>
      <w:tr w:rsidR="0044064A" w:rsidRPr="001C0A87" w:rsidTr="0050700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730" w:type="dxa"/>
            <w:vMerge w:val="restart"/>
          </w:tcPr>
          <w:p w:rsidR="0044064A" w:rsidRPr="001C0A87" w:rsidRDefault="0044064A" w:rsidP="0050700F">
            <w:pPr>
              <w:keepNext/>
              <w:keepLines/>
              <w:rPr>
                <w:rFonts w:ascii="Arial Narrow" w:hAnsi="Arial Narrow"/>
                <w:szCs w:val="20"/>
              </w:rPr>
            </w:pPr>
            <w:r w:rsidRPr="001C0A87">
              <w:rPr>
                <w:rFonts w:ascii="Arial Narrow" w:hAnsi="Arial Narrow"/>
                <w:szCs w:val="20"/>
              </w:rPr>
              <w:t>Product</w:t>
            </w:r>
          </w:p>
        </w:tc>
        <w:tc>
          <w:tcPr>
            <w:tcW w:w="2728" w:type="dxa"/>
            <w:gridSpan w:val="2"/>
            <w:tcBorders>
              <w:bottom w:val="single" w:sz="8" w:space="0" w:color="DDD9C3"/>
            </w:tcBorders>
          </w:tcPr>
          <w:p w:rsidR="0044064A" w:rsidRPr="001C0A87" w:rsidRDefault="0044064A" w:rsidP="0050700F">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szCs w:val="20"/>
              </w:rPr>
            </w:pPr>
            <w:r w:rsidRPr="001C0A87">
              <w:rPr>
                <w:rFonts w:ascii="Arial Narrow" w:hAnsi="Arial Narrow"/>
                <w:szCs w:val="20"/>
              </w:rPr>
              <w:t>Region</w:t>
            </w:r>
          </w:p>
        </w:tc>
      </w:tr>
      <w:tr w:rsidR="0044064A" w:rsidRPr="001C0A87" w:rsidTr="0050700F">
        <w:trPr>
          <w:trHeight w:val="432"/>
        </w:trPr>
        <w:tc>
          <w:tcPr>
            <w:cnfStyle w:val="001000000000" w:firstRow="0" w:lastRow="0" w:firstColumn="1" w:lastColumn="0" w:oddVBand="0" w:evenVBand="0" w:oddHBand="0" w:evenHBand="0" w:firstRowFirstColumn="0" w:firstRowLastColumn="0" w:lastRowFirstColumn="0" w:lastRowLastColumn="0"/>
            <w:tcW w:w="3730" w:type="dxa"/>
            <w:vMerge/>
            <w:tcBorders>
              <w:bottom w:val="single" w:sz="8" w:space="0" w:color="365F91" w:themeColor="accent1" w:themeShade="BF"/>
            </w:tcBorders>
            <w:shd w:val="clear" w:color="auto" w:fill="C4BC96" w:themeFill="background2" w:themeFillShade="BF"/>
          </w:tcPr>
          <w:p w:rsidR="0044064A" w:rsidRPr="001C0A87" w:rsidRDefault="0044064A" w:rsidP="0050700F">
            <w:pPr>
              <w:keepNext/>
              <w:keepLines/>
              <w:rPr>
                <w:rFonts w:ascii="Arial Narrow" w:hAnsi="Arial Narrow"/>
                <w:b/>
                <w:color w:val="FFFFFF" w:themeColor="background1"/>
                <w:szCs w:val="20"/>
              </w:rPr>
            </w:pPr>
          </w:p>
        </w:tc>
        <w:tc>
          <w:tcPr>
            <w:tcW w:w="1364" w:type="dxa"/>
            <w:tcBorders>
              <w:bottom w:val="single" w:sz="8" w:space="0" w:color="365F91" w:themeColor="accent1" w:themeShade="BF"/>
            </w:tcBorders>
            <w:shd w:val="clear" w:color="auto" w:fill="C4BC96" w:themeFill="background2" w:themeFillShade="BF"/>
          </w:tcPr>
          <w:p w:rsidR="0044064A" w:rsidRPr="001C0A87" w:rsidRDefault="0044064A" w:rsidP="0050700F">
            <w:pPr>
              <w:keepNext/>
              <w:keepLines/>
              <w:cnfStyle w:val="000000000000" w:firstRow="0" w:lastRow="0" w:firstColumn="0" w:lastColumn="0" w:oddVBand="0" w:evenVBand="0" w:oddHBand="0" w:evenHBand="0" w:firstRowFirstColumn="0" w:firstRowLastColumn="0" w:lastRowFirstColumn="0" w:lastRowLastColumn="0"/>
              <w:rPr>
                <w:rFonts w:ascii="Arial Narrow" w:hAnsi="Arial Narrow"/>
                <w:b/>
                <w:color w:val="FFFFFF" w:themeColor="background1"/>
                <w:szCs w:val="20"/>
              </w:rPr>
            </w:pPr>
            <w:r>
              <w:rPr>
                <w:rFonts w:ascii="Arial Narrow" w:hAnsi="Arial Narrow"/>
                <w:b/>
                <w:color w:val="FFFFFF" w:themeColor="background1"/>
                <w:szCs w:val="20"/>
              </w:rPr>
              <w:t>2010-2015</w:t>
            </w:r>
          </w:p>
        </w:tc>
        <w:tc>
          <w:tcPr>
            <w:tcW w:w="1364" w:type="dxa"/>
            <w:tcBorders>
              <w:bottom w:val="single" w:sz="8" w:space="0" w:color="365F91" w:themeColor="accent1" w:themeShade="BF"/>
            </w:tcBorders>
            <w:shd w:val="clear" w:color="auto" w:fill="C4BC96" w:themeFill="background2" w:themeFillShade="BF"/>
          </w:tcPr>
          <w:p w:rsidR="0044064A" w:rsidRPr="001C0A87" w:rsidRDefault="0044064A" w:rsidP="009F03AF">
            <w:pPr>
              <w:keepNext/>
              <w:keepLines/>
              <w:cnfStyle w:val="000000000000" w:firstRow="0" w:lastRow="0" w:firstColumn="0" w:lastColumn="0" w:oddVBand="0" w:evenVBand="0" w:oddHBand="0" w:evenHBand="0" w:firstRowFirstColumn="0" w:firstRowLastColumn="0" w:lastRowFirstColumn="0" w:lastRowLastColumn="0"/>
              <w:rPr>
                <w:rFonts w:ascii="Arial Narrow" w:hAnsi="Arial Narrow"/>
                <w:b/>
                <w:color w:val="FFFFFF" w:themeColor="background1"/>
                <w:szCs w:val="20"/>
              </w:rPr>
            </w:pPr>
            <w:r w:rsidRPr="001C0A87">
              <w:rPr>
                <w:rFonts w:ascii="Arial Narrow" w:hAnsi="Arial Narrow"/>
                <w:b/>
                <w:color w:val="FFFFFF" w:themeColor="background1"/>
                <w:szCs w:val="20"/>
              </w:rPr>
              <w:t>201</w:t>
            </w:r>
            <w:r>
              <w:rPr>
                <w:rFonts w:ascii="Arial Narrow" w:hAnsi="Arial Narrow"/>
                <w:b/>
                <w:color w:val="FFFFFF" w:themeColor="background1"/>
                <w:szCs w:val="20"/>
              </w:rPr>
              <w:t>6</w:t>
            </w:r>
            <w:r w:rsidRPr="001C0A87">
              <w:rPr>
                <w:rFonts w:ascii="Arial Narrow" w:hAnsi="Arial Narrow"/>
                <w:b/>
                <w:color w:val="FFFFFF" w:themeColor="background1"/>
                <w:szCs w:val="20"/>
              </w:rPr>
              <w:t xml:space="preserve">-2034 </w:t>
            </w:r>
          </w:p>
        </w:tc>
      </w:tr>
      <w:tr w:rsidR="0044064A" w:rsidRPr="001C0A87" w:rsidTr="005070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0" w:type="dxa"/>
            <w:tcBorders>
              <w:top w:val="single" w:sz="8" w:space="0" w:color="365F91" w:themeColor="accent1" w:themeShade="BF"/>
              <w:right w:val="single" w:sz="8" w:space="0" w:color="92876D"/>
            </w:tcBorders>
          </w:tcPr>
          <w:p w:rsidR="0044064A" w:rsidRPr="001C0A87" w:rsidRDefault="0044064A" w:rsidP="0050700F">
            <w:pPr>
              <w:keepNext/>
              <w:keepLines/>
              <w:rPr>
                <w:rFonts w:ascii="Arial Narrow" w:hAnsi="Arial Narrow"/>
                <w:noProof/>
                <w:szCs w:val="20"/>
              </w:rPr>
            </w:pPr>
            <w:r w:rsidRPr="001C0A87">
              <w:rPr>
                <w:rFonts w:ascii="Arial Narrow" w:hAnsi="Arial Narrow"/>
                <w:noProof/>
                <w:szCs w:val="20"/>
              </w:rPr>
              <w:t>Commercial Clothes Washers</w:t>
            </w:r>
          </w:p>
        </w:tc>
        <w:tc>
          <w:tcPr>
            <w:tcW w:w="1364" w:type="dxa"/>
            <w:tcBorders>
              <w:top w:val="single" w:sz="8" w:space="0" w:color="365F91" w:themeColor="accent1" w:themeShade="BF"/>
              <w:left w:val="single" w:sz="8" w:space="0" w:color="92876D"/>
            </w:tcBorders>
          </w:tcPr>
          <w:p w:rsidR="0044064A" w:rsidRPr="001C0A87" w:rsidRDefault="0044064A" w:rsidP="0050700F">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noProof/>
                <w:szCs w:val="20"/>
              </w:rPr>
            </w:pPr>
            <w:r>
              <w:rPr>
                <w:rFonts w:ascii="Arial Narrow" w:hAnsi="Arial Narrow"/>
                <w:noProof/>
                <w:szCs w:val="20"/>
              </w:rPr>
              <w:t>1.56</w:t>
            </w:r>
          </w:p>
        </w:tc>
        <w:tc>
          <w:tcPr>
            <w:tcW w:w="1364" w:type="dxa"/>
            <w:tcBorders>
              <w:top w:val="single" w:sz="8" w:space="0" w:color="365F91" w:themeColor="accent1" w:themeShade="BF"/>
              <w:right w:val="single" w:sz="8" w:space="0" w:color="92876D"/>
            </w:tcBorders>
          </w:tcPr>
          <w:p w:rsidR="0044064A" w:rsidRPr="001C0A87" w:rsidRDefault="0044064A" w:rsidP="0050700F">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noProof/>
                <w:szCs w:val="20"/>
              </w:rPr>
            </w:pPr>
            <w:r>
              <w:rPr>
                <w:rFonts w:ascii="Arial Narrow" w:hAnsi="Arial Narrow"/>
                <w:noProof/>
                <w:szCs w:val="20"/>
              </w:rPr>
              <w:t>7.57</w:t>
            </w:r>
          </w:p>
        </w:tc>
      </w:tr>
      <w:tr w:rsidR="0044064A" w:rsidRPr="001C0A87" w:rsidTr="0050700F">
        <w:tc>
          <w:tcPr>
            <w:cnfStyle w:val="001000000000" w:firstRow="0" w:lastRow="0" w:firstColumn="1" w:lastColumn="0" w:oddVBand="0" w:evenVBand="0" w:oddHBand="0" w:evenHBand="0" w:firstRowFirstColumn="0" w:firstRowLastColumn="0" w:lastRowFirstColumn="0" w:lastRowLastColumn="0"/>
            <w:tcW w:w="3730" w:type="dxa"/>
            <w:tcBorders>
              <w:right w:val="single" w:sz="8" w:space="0" w:color="92876D"/>
            </w:tcBorders>
          </w:tcPr>
          <w:p w:rsidR="0044064A" w:rsidRPr="001C0A87" w:rsidRDefault="0044064A" w:rsidP="0050700F">
            <w:pPr>
              <w:keepNext/>
              <w:keepLines/>
              <w:rPr>
                <w:rFonts w:ascii="Arial Narrow" w:hAnsi="Arial Narrow"/>
                <w:noProof/>
                <w:szCs w:val="20"/>
              </w:rPr>
            </w:pPr>
            <w:r w:rsidRPr="001C0A87">
              <w:rPr>
                <w:rFonts w:ascii="Arial Narrow" w:hAnsi="Arial Narrow"/>
                <w:noProof/>
                <w:szCs w:val="20"/>
              </w:rPr>
              <w:t>Illuminated Exit Signs</w:t>
            </w:r>
          </w:p>
        </w:tc>
        <w:tc>
          <w:tcPr>
            <w:tcW w:w="1364" w:type="dxa"/>
            <w:tcBorders>
              <w:left w:val="single" w:sz="8" w:space="0" w:color="92876D"/>
            </w:tcBorders>
          </w:tcPr>
          <w:p w:rsidR="0044064A" w:rsidRPr="001C0A87" w:rsidRDefault="0044064A" w:rsidP="0050700F">
            <w:pPr>
              <w:keepNext/>
              <w:keepLines/>
              <w:cnfStyle w:val="000000000000" w:firstRow="0" w:lastRow="0" w:firstColumn="0" w:lastColumn="0" w:oddVBand="0" w:evenVBand="0" w:oddHBand="0" w:evenHBand="0" w:firstRowFirstColumn="0" w:firstRowLastColumn="0" w:lastRowFirstColumn="0" w:lastRowLastColumn="0"/>
              <w:rPr>
                <w:rFonts w:ascii="Arial Narrow" w:hAnsi="Arial Narrow"/>
                <w:noProof/>
                <w:szCs w:val="20"/>
              </w:rPr>
            </w:pPr>
            <w:r w:rsidRPr="001C0A87">
              <w:rPr>
                <w:rFonts w:ascii="Arial Narrow" w:hAnsi="Arial Narrow"/>
                <w:noProof/>
                <w:szCs w:val="20"/>
              </w:rPr>
              <w:t>0.0</w:t>
            </w:r>
          </w:p>
        </w:tc>
        <w:tc>
          <w:tcPr>
            <w:tcW w:w="1364" w:type="dxa"/>
            <w:tcBorders>
              <w:right w:val="single" w:sz="8" w:space="0" w:color="92876D"/>
            </w:tcBorders>
          </w:tcPr>
          <w:p w:rsidR="0044064A" w:rsidRPr="001C0A87" w:rsidRDefault="0044064A" w:rsidP="0050700F">
            <w:pPr>
              <w:keepNext/>
              <w:keepLines/>
              <w:cnfStyle w:val="000000000000" w:firstRow="0" w:lastRow="0" w:firstColumn="0" w:lastColumn="0" w:oddVBand="0" w:evenVBand="0" w:oddHBand="0" w:evenHBand="0" w:firstRowFirstColumn="0" w:firstRowLastColumn="0" w:lastRowFirstColumn="0" w:lastRowLastColumn="0"/>
              <w:rPr>
                <w:rFonts w:ascii="Arial Narrow" w:hAnsi="Arial Narrow"/>
                <w:noProof/>
                <w:szCs w:val="20"/>
              </w:rPr>
            </w:pPr>
            <w:r w:rsidRPr="001C0A87">
              <w:rPr>
                <w:rFonts w:ascii="Arial Narrow" w:hAnsi="Arial Narrow"/>
                <w:noProof/>
                <w:szCs w:val="20"/>
              </w:rPr>
              <w:t>0.0</w:t>
            </w:r>
          </w:p>
        </w:tc>
      </w:tr>
      <w:tr w:rsidR="0044064A" w:rsidRPr="001C0A87" w:rsidTr="005070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0" w:type="dxa"/>
            <w:tcBorders>
              <w:right w:val="single" w:sz="8" w:space="0" w:color="92876D"/>
            </w:tcBorders>
          </w:tcPr>
          <w:p w:rsidR="0044064A" w:rsidRPr="001C0A87" w:rsidRDefault="0044064A" w:rsidP="0050700F">
            <w:pPr>
              <w:keepNext/>
              <w:keepLines/>
              <w:rPr>
                <w:rFonts w:ascii="Arial Narrow" w:hAnsi="Arial Narrow"/>
                <w:noProof/>
                <w:szCs w:val="20"/>
              </w:rPr>
            </w:pPr>
            <w:r w:rsidRPr="001C0A87">
              <w:rPr>
                <w:rFonts w:ascii="Arial Narrow" w:hAnsi="Arial Narrow"/>
                <w:noProof/>
                <w:szCs w:val="20"/>
              </w:rPr>
              <w:t>Pre-Rinse Spray Valves</w:t>
            </w:r>
          </w:p>
        </w:tc>
        <w:tc>
          <w:tcPr>
            <w:tcW w:w="1364" w:type="dxa"/>
            <w:tcBorders>
              <w:left w:val="single" w:sz="8" w:space="0" w:color="92876D"/>
            </w:tcBorders>
          </w:tcPr>
          <w:p w:rsidR="0044064A" w:rsidRPr="001C0A87" w:rsidRDefault="0044064A" w:rsidP="0050700F">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noProof/>
                <w:szCs w:val="20"/>
              </w:rPr>
            </w:pPr>
            <w:r w:rsidRPr="001C0A87">
              <w:rPr>
                <w:rFonts w:ascii="Arial Narrow" w:hAnsi="Arial Narrow"/>
                <w:noProof/>
                <w:szCs w:val="20"/>
              </w:rPr>
              <w:t>0.0</w:t>
            </w:r>
          </w:p>
        </w:tc>
        <w:tc>
          <w:tcPr>
            <w:tcW w:w="1364" w:type="dxa"/>
            <w:tcBorders>
              <w:right w:val="single" w:sz="8" w:space="0" w:color="92876D"/>
            </w:tcBorders>
          </w:tcPr>
          <w:p w:rsidR="0044064A" w:rsidRPr="001C0A87" w:rsidRDefault="0044064A" w:rsidP="0050700F">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noProof/>
                <w:szCs w:val="20"/>
              </w:rPr>
            </w:pPr>
            <w:r w:rsidRPr="001C0A87">
              <w:rPr>
                <w:rFonts w:ascii="Arial Narrow" w:hAnsi="Arial Narrow"/>
                <w:noProof/>
                <w:szCs w:val="20"/>
              </w:rPr>
              <w:t>0.0</w:t>
            </w:r>
          </w:p>
        </w:tc>
      </w:tr>
      <w:tr w:rsidR="0044064A" w:rsidRPr="001C0A87" w:rsidTr="0050700F">
        <w:tc>
          <w:tcPr>
            <w:cnfStyle w:val="001000000000" w:firstRow="0" w:lastRow="0" w:firstColumn="1" w:lastColumn="0" w:oddVBand="0" w:evenVBand="0" w:oddHBand="0" w:evenHBand="0" w:firstRowFirstColumn="0" w:firstRowLastColumn="0" w:lastRowFirstColumn="0" w:lastRowLastColumn="0"/>
            <w:tcW w:w="3730" w:type="dxa"/>
            <w:tcBorders>
              <w:right w:val="single" w:sz="8" w:space="0" w:color="92876D"/>
            </w:tcBorders>
          </w:tcPr>
          <w:p w:rsidR="0044064A" w:rsidRPr="001C0A87" w:rsidRDefault="0044064A" w:rsidP="0050700F">
            <w:pPr>
              <w:keepNext/>
              <w:keepLines/>
              <w:rPr>
                <w:rFonts w:ascii="Arial Narrow" w:hAnsi="Arial Narrow"/>
                <w:noProof/>
                <w:szCs w:val="20"/>
              </w:rPr>
            </w:pPr>
            <w:r w:rsidRPr="001C0A87">
              <w:rPr>
                <w:rFonts w:ascii="Arial Narrow" w:hAnsi="Arial Narrow"/>
                <w:noProof/>
                <w:szCs w:val="20"/>
              </w:rPr>
              <w:t>Commercial Refrigeration Equipment</w:t>
            </w:r>
          </w:p>
        </w:tc>
        <w:tc>
          <w:tcPr>
            <w:tcW w:w="1364" w:type="dxa"/>
            <w:tcBorders>
              <w:left w:val="single" w:sz="8" w:space="0" w:color="92876D"/>
            </w:tcBorders>
          </w:tcPr>
          <w:p w:rsidR="0044064A" w:rsidRPr="001C0A87" w:rsidRDefault="0044064A" w:rsidP="0050700F">
            <w:pPr>
              <w:keepNext/>
              <w:keepLines/>
              <w:cnfStyle w:val="000000000000" w:firstRow="0" w:lastRow="0" w:firstColumn="0" w:lastColumn="0" w:oddVBand="0" w:evenVBand="0" w:oddHBand="0" w:evenHBand="0" w:firstRowFirstColumn="0" w:firstRowLastColumn="0" w:lastRowFirstColumn="0" w:lastRowLastColumn="0"/>
              <w:rPr>
                <w:rFonts w:ascii="Arial Narrow" w:hAnsi="Arial Narrow"/>
                <w:noProof/>
                <w:szCs w:val="20"/>
              </w:rPr>
            </w:pPr>
            <w:r w:rsidRPr="001C0A87">
              <w:rPr>
                <w:rFonts w:ascii="Arial Narrow" w:hAnsi="Arial Narrow"/>
                <w:noProof/>
                <w:szCs w:val="20"/>
              </w:rPr>
              <w:t>0.0</w:t>
            </w:r>
          </w:p>
        </w:tc>
        <w:tc>
          <w:tcPr>
            <w:tcW w:w="1364" w:type="dxa"/>
            <w:tcBorders>
              <w:right w:val="single" w:sz="8" w:space="0" w:color="92876D"/>
            </w:tcBorders>
          </w:tcPr>
          <w:p w:rsidR="0044064A" w:rsidRPr="001C0A87" w:rsidRDefault="0044064A" w:rsidP="0050700F">
            <w:pPr>
              <w:keepNext/>
              <w:keepLines/>
              <w:cnfStyle w:val="000000000000" w:firstRow="0" w:lastRow="0" w:firstColumn="0" w:lastColumn="0" w:oddVBand="0" w:evenVBand="0" w:oddHBand="0" w:evenHBand="0" w:firstRowFirstColumn="0" w:firstRowLastColumn="0" w:lastRowFirstColumn="0" w:lastRowLastColumn="0"/>
              <w:rPr>
                <w:rFonts w:ascii="Arial Narrow" w:hAnsi="Arial Narrow"/>
                <w:noProof/>
                <w:szCs w:val="20"/>
              </w:rPr>
            </w:pPr>
            <w:r w:rsidRPr="001C0A87">
              <w:rPr>
                <w:rFonts w:ascii="Arial Narrow" w:hAnsi="Arial Narrow"/>
                <w:noProof/>
                <w:szCs w:val="20"/>
              </w:rPr>
              <w:t>0.0</w:t>
            </w:r>
          </w:p>
        </w:tc>
      </w:tr>
      <w:tr w:rsidR="0044064A" w:rsidRPr="001C0A87" w:rsidTr="005070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0" w:type="dxa"/>
            <w:tcBorders>
              <w:right w:val="single" w:sz="8" w:space="0" w:color="92876D"/>
            </w:tcBorders>
          </w:tcPr>
          <w:p w:rsidR="0044064A" w:rsidRPr="001C0A87" w:rsidRDefault="0044064A" w:rsidP="0050700F">
            <w:pPr>
              <w:keepNext/>
              <w:keepLines/>
              <w:rPr>
                <w:rFonts w:ascii="Arial Narrow" w:hAnsi="Arial Narrow"/>
                <w:noProof/>
                <w:szCs w:val="20"/>
              </w:rPr>
            </w:pPr>
            <w:r w:rsidRPr="001C0A87">
              <w:rPr>
                <w:rFonts w:ascii="Arial Narrow" w:hAnsi="Arial Narrow"/>
                <w:noProof/>
                <w:szCs w:val="20"/>
              </w:rPr>
              <w:t>Walk-</w:t>
            </w:r>
            <w:r>
              <w:rPr>
                <w:rFonts w:ascii="Arial Narrow" w:hAnsi="Arial Narrow"/>
                <w:noProof/>
                <w:szCs w:val="20"/>
              </w:rPr>
              <w:t>I</w:t>
            </w:r>
            <w:r w:rsidRPr="001C0A87">
              <w:rPr>
                <w:rFonts w:ascii="Arial Narrow" w:hAnsi="Arial Narrow"/>
                <w:noProof/>
                <w:szCs w:val="20"/>
              </w:rPr>
              <w:t>n Coolers and Freezers</w:t>
            </w:r>
          </w:p>
        </w:tc>
        <w:tc>
          <w:tcPr>
            <w:tcW w:w="1364" w:type="dxa"/>
            <w:tcBorders>
              <w:left w:val="single" w:sz="8" w:space="0" w:color="92876D"/>
            </w:tcBorders>
          </w:tcPr>
          <w:p w:rsidR="0044064A" w:rsidRPr="001C0A87" w:rsidRDefault="0044064A" w:rsidP="0050700F">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noProof/>
                <w:szCs w:val="20"/>
              </w:rPr>
            </w:pPr>
            <w:r>
              <w:rPr>
                <w:rFonts w:ascii="Arial Narrow" w:hAnsi="Arial Narrow"/>
                <w:noProof/>
                <w:szCs w:val="20"/>
              </w:rPr>
              <w:t>2.0</w:t>
            </w:r>
          </w:p>
        </w:tc>
        <w:tc>
          <w:tcPr>
            <w:tcW w:w="1364" w:type="dxa"/>
            <w:tcBorders>
              <w:right w:val="single" w:sz="8" w:space="0" w:color="92876D"/>
            </w:tcBorders>
          </w:tcPr>
          <w:p w:rsidR="0044064A" w:rsidRPr="001C0A87" w:rsidRDefault="0044064A" w:rsidP="0050700F">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noProof/>
                <w:szCs w:val="20"/>
              </w:rPr>
            </w:pPr>
            <w:r>
              <w:rPr>
                <w:rFonts w:ascii="Arial Narrow" w:hAnsi="Arial Narrow"/>
                <w:noProof/>
                <w:szCs w:val="20"/>
              </w:rPr>
              <w:t>8.77</w:t>
            </w:r>
          </w:p>
        </w:tc>
      </w:tr>
      <w:tr w:rsidR="0044064A" w:rsidRPr="001C0A87" w:rsidTr="0050700F">
        <w:trPr>
          <w:trHeight w:val="60"/>
        </w:trPr>
        <w:tc>
          <w:tcPr>
            <w:cnfStyle w:val="001000000000" w:firstRow="0" w:lastRow="0" w:firstColumn="1" w:lastColumn="0" w:oddVBand="0" w:evenVBand="0" w:oddHBand="0" w:evenHBand="0" w:firstRowFirstColumn="0" w:firstRowLastColumn="0" w:lastRowFirstColumn="0" w:lastRowLastColumn="0"/>
            <w:tcW w:w="3730" w:type="dxa"/>
            <w:tcBorders>
              <w:right w:val="single" w:sz="8" w:space="0" w:color="92876D"/>
            </w:tcBorders>
          </w:tcPr>
          <w:p w:rsidR="0044064A" w:rsidRPr="001C0A87" w:rsidRDefault="0044064A" w:rsidP="0050700F">
            <w:pPr>
              <w:keepNext/>
              <w:keepLines/>
              <w:rPr>
                <w:rFonts w:ascii="Arial Narrow" w:hAnsi="Arial Narrow"/>
                <w:noProof/>
                <w:szCs w:val="20"/>
              </w:rPr>
            </w:pPr>
            <w:r w:rsidRPr="001C0A87">
              <w:rPr>
                <w:rFonts w:ascii="Arial Narrow" w:hAnsi="Arial Narrow"/>
                <w:noProof/>
                <w:szCs w:val="20"/>
              </w:rPr>
              <w:t>Electric Motors</w:t>
            </w:r>
          </w:p>
        </w:tc>
        <w:tc>
          <w:tcPr>
            <w:tcW w:w="1364" w:type="dxa"/>
            <w:tcBorders>
              <w:left w:val="single" w:sz="8" w:space="0" w:color="92876D"/>
            </w:tcBorders>
          </w:tcPr>
          <w:p w:rsidR="0044064A" w:rsidRPr="001C0A87" w:rsidRDefault="000738D4" w:rsidP="0050700F">
            <w:pPr>
              <w:keepNext/>
              <w:keepLines/>
              <w:cnfStyle w:val="000000000000" w:firstRow="0" w:lastRow="0" w:firstColumn="0" w:lastColumn="0" w:oddVBand="0" w:evenVBand="0" w:oddHBand="0" w:evenHBand="0" w:firstRowFirstColumn="0" w:firstRowLastColumn="0" w:lastRowFirstColumn="0" w:lastRowLastColumn="0"/>
              <w:rPr>
                <w:rFonts w:ascii="Arial Narrow" w:hAnsi="Arial Narrow"/>
                <w:noProof/>
                <w:szCs w:val="20"/>
              </w:rPr>
            </w:pPr>
            <w:r>
              <w:rPr>
                <w:rFonts w:ascii="Arial Narrow" w:hAnsi="Arial Narrow"/>
                <w:noProof/>
                <w:szCs w:val="20"/>
              </w:rPr>
              <w:t>0.6</w:t>
            </w:r>
          </w:p>
        </w:tc>
        <w:tc>
          <w:tcPr>
            <w:tcW w:w="1364" w:type="dxa"/>
            <w:tcBorders>
              <w:right w:val="single" w:sz="8" w:space="0" w:color="92876D"/>
            </w:tcBorders>
          </w:tcPr>
          <w:p w:rsidR="0044064A" w:rsidRPr="001C0A87" w:rsidRDefault="000738D4" w:rsidP="0050700F">
            <w:pPr>
              <w:keepNext/>
              <w:keepLines/>
              <w:cnfStyle w:val="000000000000" w:firstRow="0" w:lastRow="0" w:firstColumn="0" w:lastColumn="0" w:oddVBand="0" w:evenVBand="0" w:oddHBand="0" w:evenHBand="0" w:firstRowFirstColumn="0" w:firstRowLastColumn="0" w:lastRowFirstColumn="0" w:lastRowLastColumn="0"/>
              <w:rPr>
                <w:rFonts w:ascii="Arial Narrow" w:hAnsi="Arial Narrow"/>
                <w:noProof/>
                <w:szCs w:val="20"/>
              </w:rPr>
            </w:pPr>
            <w:r>
              <w:rPr>
                <w:rFonts w:ascii="Arial Narrow" w:hAnsi="Arial Narrow"/>
                <w:noProof/>
                <w:szCs w:val="20"/>
              </w:rPr>
              <w:t>2.35</w:t>
            </w:r>
          </w:p>
        </w:tc>
      </w:tr>
      <w:tr w:rsidR="0044064A" w:rsidRPr="001C0A87" w:rsidTr="005070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0" w:type="dxa"/>
            <w:tcBorders>
              <w:right w:val="single" w:sz="8" w:space="0" w:color="92876D"/>
            </w:tcBorders>
          </w:tcPr>
          <w:p w:rsidR="0044064A" w:rsidRPr="001C0A87" w:rsidRDefault="0044064A" w:rsidP="0050700F">
            <w:pPr>
              <w:keepNext/>
              <w:keepLines/>
              <w:rPr>
                <w:rFonts w:ascii="Arial Narrow" w:hAnsi="Arial Narrow"/>
                <w:noProof/>
                <w:szCs w:val="20"/>
              </w:rPr>
            </w:pPr>
            <w:r w:rsidRPr="001C0A87">
              <w:rPr>
                <w:rFonts w:ascii="Arial Narrow" w:hAnsi="Arial Narrow"/>
                <w:noProof/>
                <w:szCs w:val="20"/>
              </w:rPr>
              <w:t>Distribution Transformers</w:t>
            </w:r>
          </w:p>
        </w:tc>
        <w:tc>
          <w:tcPr>
            <w:tcW w:w="1364" w:type="dxa"/>
            <w:tcBorders>
              <w:left w:val="single" w:sz="8" w:space="0" w:color="92876D"/>
            </w:tcBorders>
          </w:tcPr>
          <w:p w:rsidR="0044064A" w:rsidRPr="001C0A87" w:rsidRDefault="0044064A" w:rsidP="0050700F">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noProof/>
                <w:szCs w:val="20"/>
              </w:rPr>
            </w:pPr>
            <w:r>
              <w:rPr>
                <w:rFonts w:ascii="Arial Narrow" w:hAnsi="Arial Narrow"/>
                <w:noProof/>
                <w:szCs w:val="20"/>
              </w:rPr>
              <w:t>41.2</w:t>
            </w:r>
          </w:p>
        </w:tc>
        <w:tc>
          <w:tcPr>
            <w:tcW w:w="1364" w:type="dxa"/>
            <w:tcBorders>
              <w:right w:val="single" w:sz="8" w:space="0" w:color="92876D"/>
            </w:tcBorders>
          </w:tcPr>
          <w:p w:rsidR="0044064A" w:rsidRPr="001C0A87" w:rsidRDefault="0044064A" w:rsidP="0050700F">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noProof/>
                <w:szCs w:val="20"/>
              </w:rPr>
            </w:pPr>
            <w:r>
              <w:rPr>
                <w:rFonts w:ascii="Arial Narrow" w:hAnsi="Arial Narrow"/>
                <w:noProof/>
                <w:szCs w:val="20"/>
              </w:rPr>
              <w:t>292.37</w:t>
            </w:r>
          </w:p>
        </w:tc>
      </w:tr>
      <w:tr w:rsidR="0044064A" w:rsidRPr="001C0A87" w:rsidTr="0050700F">
        <w:tc>
          <w:tcPr>
            <w:cnfStyle w:val="001000000000" w:firstRow="0" w:lastRow="0" w:firstColumn="1" w:lastColumn="0" w:oddVBand="0" w:evenVBand="0" w:oddHBand="0" w:evenHBand="0" w:firstRowFirstColumn="0" w:firstRowLastColumn="0" w:lastRowFirstColumn="0" w:lastRowLastColumn="0"/>
            <w:tcW w:w="3730" w:type="dxa"/>
            <w:tcBorders>
              <w:right w:val="single" w:sz="8" w:space="0" w:color="92876D"/>
            </w:tcBorders>
          </w:tcPr>
          <w:p w:rsidR="0044064A" w:rsidRPr="001C0A87" w:rsidRDefault="0044064A" w:rsidP="0050700F">
            <w:pPr>
              <w:keepNext/>
              <w:keepLines/>
              <w:rPr>
                <w:rFonts w:ascii="Arial Narrow" w:hAnsi="Arial Narrow"/>
                <w:noProof/>
                <w:szCs w:val="20"/>
              </w:rPr>
            </w:pPr>
            <w:r w:rsidRPr="001C0A87">
              <w:rPr>
                <w:rFonts w:ascii="Arial Narrow" w:hAnsi="Arial Narrow"/>
                <w:noProof/>
                <w:szCs w:val="20"/>
              </w:rPr>
              <w:t>CAC Air-Cooled</w:t>
            </w:r>
          </w:p>
        </w:tc>
        <w:tc>
          <w:tcPr>
            <w:tcW w:w="1364" w:type="dxa"/>
            <w:tcBorders>
              <w:left w:val="single" w:sz="8" w:space="0" w:color="92876D"/>
            </w:tcBorders>
          </w:tcPr>
          <w:p w:rsidR="0044064A" w:rsidRPr="001C0A87" w:rsidRDefault="0044064A" w:rsidP="0050700F">
            <w:pPr>
              <w:keepNext/>
              <w:keepLines/>
              <w:cnfStyle w:val="000000000000" w:firstRow="0" w:lastRow="0" w:firstColumn="0" w:lastColumn="0" w:oddVBand="0" w:evenVBand="0" w:oddHBand="0" w:evenHBand="0" w:firstRowFirstColumn="0" w:firstRowLastColumn="0" w:lastRowFirstColumn="0" w:lastRowLastColumn="0"/>
              <w:rPr>
                <w:rFonts w:ascii="Arial Narrow" w:hAnsi="Arial Narrow"/>
                <w:noProof/>
                <w:szCs w:val="20"/>
              </w:rPr>
            </w:pPr>
            <w:r w:rsidRPr="001C0A87">
              <w:rPr>
                <w:rFonts w:ascii="Arial Narrow" w:hAnsi="Arial Narrow"/>
                <w:noProof/>
                <w:szCs w:val="20"/>
              </w:rPr>
              <w:t>0.00</w:t>
            </w:r>
          </w:p>
        </w:tc>
        <w:tc>
          <w:tcPr>
            <w:tcW w:w="1364" w:type="dxa"/>
            <w:tcBorders>
              <w:right w:val="single" w:sz="8" w:space="0" w:color="92876D"/>
            </w:tcBorders>
          </w:tcPr>
          <w:p w:rsidR="0044064A" w:rsidRPr="001C0A87" w:rsidRDefault="0044064A" w:rsidP="0050700F">
            <w:pPr>
              <w:keepNext/>
              <w:keepLines/>
              <w:cnfStyle w:val="000000000000" w:firstRow="0" w:lastRow="0" w:firstColumn="0" w:lastColumn="0" w:oddVBand="0" w:evenVBand="0" w:oddHBand="0" w:evenHBand="0" w:firstRowFirstColumn="0" w:firstRowLastColumn="0" w:lastRowFirstColumn="0" w:lastRowLastColumn="0"/>
              <w:rPr>
                <w:rFonts w:ascii="Arial Narrow" w:hAnsi="Arial Narrow"/>
                <w:noProof/>
                <w:szCs w:val="20"/>
              </w:rPr>
            </w:pPr>
            <w:r w:rsidRPr="001C0A87">
              <w:rPr>
                <w:rFonts w:ascii="Arial Narrow" w:hAnsi="Arial Narrow"/>
                <w:noProof/>
                <w:szCs w:val="20"/>
              </w:rPr>
              <w:t>0.18</w:t>
            </w:r>
          </w:p>
        </w:tc>
      </w:tr>
      <w:tr w:rsidR="0044064A" w:rsidRPr="001C0A87" w:rsidTr="005070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0" w:type="dxa"/>
            <w:tcBorders>
              <w:right w:val="single" w:sz="8" w:space="0" w:color="92876D"/>
            </w:tcBorders>
          </w:tcPr>
          <w:p w:rsidR="0044064A" w:rsidRPr="001C0A87" w:rsidRDefault="0044064A" w:rsidP="0050700F">
            <w:pPr>
              <w:keepNext/>
              <w:keepLines/>
              <w:rPr>
                <w:rFonts w:ascii="Arial Narrow" w:hAnsi="Arial Narrow"/>
                <w:noProof/>
                <w:szCs w:val="20"/>
              </w:rPr>
            </w:pPr>
            <w:r w:rsidRPr="001C0A87">
              <w:rPr>
                <w:rFonts w:ascii="Arial Narrow" w:hAnsi="Arial Narrow"/>
                <w:noProof/>
                <w:szCs w:val="20"/>
              </w:rPr>
              <w:t>CAC Water-Cooled</w:t>
            </w:r>
          </w:p>
        </w:tc>
        <w:tc>
          <w:tcPr>
            <w:tcW w:w="1364" w:type="dxa"/>
            <w:tcBorders>
              <w:left w:val="single" w:sz="8" w:space="0" w:color="92876D"/>
            </w:tcBorders>
          </w:tcPr>
          <w:p w:rsidR="0044064A" w:rsidRPr="001C0A87" w:rsidRDefault="0044064A" w:rsidP="0050700F">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noProof/>
                <w:szCs w:val="20"/>
              </w:rPr>
            </w:pPr>
            <w:r w:rsidRPr="001C0A87">
              <w:rPr>
                <w:rFonts w:ascii="Arial Narrow" w:hAnsi="Arial Narrow"/>
                <w:noProof/>
                <w:szCs w:val="20"/>
              </w:rPr>
              <w:t>0.0</w:t>
            </w:r>
            <w:r>
              <w:rPr>
                <w:rFonts w:ascii="Arial Narrow" w:hAnsi="Arial Narrow"/>
                <w:noProof/>
                <w:szCs w:val="20"/>
              </w:rPr>
              <w:t>1</w:t>
            </w:r>
          </w:p>
        </w:tc>
        <w:tc>
          <w:tcPr>
            <w:tcW w:w="1364" w:type="dxa"/>
            <w:tcBorders>
              <w:right w:val="single" w:sz="8" w:space="0" w:color="92876D"/>
            </w:tcBorders>
          </w:tcPr>
          <w:p w:rsidR="0044064A" w:rsidRPr="001C0A87" w:rsidRDefault="0044064A" w:rsidP="0050700F">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noProof/>
                <w:szCs w:val="20"/>
              </w:rPr>
            </w:pPr>
            <w:r w:rsidRPr="001C0A87">
              <w:rPr>
                <w:rFonts w:ascii="Arial Narrow" w:hAnsi="Arial Narrow"/>
                <w:noProof/>
                <w:szCs w:val="20"/>
              </w:rPr>
              <w:t>0.06</w:t>
            </w:r>
          </w:p>
        </w:tc>
      </w:tr>
      <w:tr w:rsidR="0044064A" w:rsidRPr="001C0A87" w:rsidTr="0050700F">
        <w:tc>
          <w:tcPr>
            <w:cnfStyle w:val="001000000000" w:firstRow="0" w:lastRow="0" w:firstColumn="1" w:lastColumn="0" w:oddVBand="0" w:evenVBand="0" w:oddHBand="0" w:evenHBand="0" w:firstRowFirstColumn="0" w:firstRowLastColumn="0" w:lastRowFirstColumn="0" w:lastRowLastColumn="0"/>
            <w:tcW w:w="3730" w:type="dxa"/>
            <w:tcBorders>
              <w:right w:val="single" w:sz="8" w:space="0" w:color="92876D"/>
            </w:tcBorders>
          </w:tcPr>
          <w:p w:rsidR="0044064A" w:rsidRPr="001C0A87" w:rsidRDefault="0044064A" w:rsidP="0050700F">
            <w:pPr>
              <w:keepNext/>
              <w:keepLines/>
              <w:rPr>
                <w:rFonts w:ascii="Arial Narrow" w:hAnsi="Arial Narrow"/>
                <w:noProof/>
                <w:szCs w:val="20"/>
              </w:rPr>
            </w:pPr>
            <w:r w:rsidRPr="001C0A87">
              <w:rPr>
                <w:rFonts w:ascii="Arial Narrow" w:hAnsi="Arial Narrow"/>
                <w:noProof/>
                <w:szCs w:val="20"/>
              </w:rPr>
              <w:t>Packaged Terminal Air-Conditioning/Heat Pump</w:t>
            </w:r>
          </w:p>
        </w:tc>
        <w:tc>
          <w:tcPr>
            <w:tcW w:w="1364" w:type="dxa"/>
            <w:tcBorders>
              <w:left w:val="single" w:sz="8" w:space="0" w:color="92876D"/>
              <w:bottom w:val="double" w:sz="4" w:space="0" w:color="92876D"/>
            </w:tcBorders>
          </w:tcPr>
          <w:p w:rsidR="0044064A" w:rsidRPr="001C0A87" w:rsidRDefault="0044064A" w:rsidP="0050700F">
            <w:pPr>
              <w:keepNext/>
              <w:keepLines/>
              <w:cnfStyle w:val="000000000000" w:firstRow="0" w:lastRow="0" w:firstColumn="0" w:lastColumn="0" w:oddVBand="0" w:evenVBand="0" w:oddHBand="0" w:evenHBand="0" w:firstRowFirstColumn="0" w:firstRowLastColumn="0" w:lastRowFirstColumn="0" w:lastRowLastColumn="0"/>
              <w:rPr>
                <w:rFonts w:ascii="Arial Narrow" w:hAnsi="Arial Narrow"/>
                <w:noProof/>
                <w:szCs w:val="20"/>
              </w:rPr>
            </w:pPr>
            <w:r w:rsidRPr="001C0A87">
              <w:rPr>
                <w:rFonts w:ascii="Arial Narrow" w:hAnsi="Arial Narrow"/>
                <w:noProof/>
                <w:szCs w:val="20"/>
              </w:rPr>
              <w:t>0.</w:t>
            </w:r>
            <w:r>
              <w:rPr>
                <w:rFonts w:ascii="Arial Narrow" w:hAnsi="Arial Narrow"/>
                <w:noProof/>
                <w:szCs w:val="20"/>
              </w:rPr>
              <w:t>11</w:t>
            </w:r>
          </w:p>
        </w:tc>
        <w:tc>
          <w:tcPr>
            <w:tcW w:w="1364" w:type="dxa"/>
            <w:tcBorders>
              <w:right w:val="single" w:sz="8" w:space="0" w:color="92876D"/>
            </w:tcBorders>
          </w:tcPr>
          <w:p w:rsidR="0044064A" w:rsidRPr="001C0A87" w:rsidRDefault="0044064A" w:rsidP="0050700F">
            <w:pPr>
              <w:keepNext/>
              <w:keepLines/>
              <w:cnfStyle w:val="000000000000" w:firstRow="0" w:lastRow="0" w:firstColumn="0" w:lastColumn="0" w:oddVBand="0" w:evenVBand="0" w:oddHBand="0" w:evenHBand="0" w:firstRowFirstColumn="0" w:firstRowLastColumn="0" w:lastRowFirstColumn="0" w:lastRowLastColumn="0"/>
              <w:rPr>
                <w:rFonts w:ascii="Arial Narrow" w:hAnsi="Arial Narrow"/>
                <w:noProof/>
                <w:szCs w:val="20"/>
              </w:rPr>
            </w:pPr>
            <w:r w:rsidRPr="001C0A87">
              <w:rPr>
                <w:rFonts w:ascii="Arial Narrow" w:hAnsi="Arial Narrow"/>
                <w:noProof/>
                <w:szCs w:val="20"/>
              </w:rPr>
              <w:t>0.3</w:t>
            </w:r>
            <w:r>
              <w:rPr>
                <w:rFonts w:ascii="Arial Narrow" w:hAnsi="Arial Narrow"/>
                <w:noProof/>
                <w:szCs w:val="20"/>
              </w:rPr>
              <w:t>3</w:t>
            </w:r>
          </w:p>
        </w:tc>
      </w:tr>
      <w:tr w:rsidR="0044064A" w:rsidRPr="001C0A87" w:rsidTr="0050700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0" w:type="dxa"/>
            <w:tcBorders>
              <w:right w:val="nil"/>
            </w:tcBorders>
          </w:tcPr>
          <w:p w:rsidR="0044064A" w:rsidRPr="001C0A87" w:rsidRDefault="0044064A" w:rsidP="0050700F">
            <w:pPr>
              <w:rPr>
                <w:rFonts w:ascii="Arial Narrow" w:hAnsi="Arial Narrow"/>
                <w:noProof/>
                <w:szCs w:val="20"/>
              </w:rPr>
            </w:pPr>
            <w:r w:rsidRPr="001C0A87">
              <w:rPr>
                <w:rFonts w:ascii="Arial Narrow" w:hAnsi="Arial Narrow"/>
                <w:noProof/>
                <w:szCs w:val="20"/>
              </w:rPr>
              <w:t>Total Commercial</w:t>
            </w:r>
          </w:p>
        </w:tc>
        <w:tc>
          <w:tcPr>
            <w:tcW w:w="1364" w:type="dxa"/>
            <w:tcBorders>
              <w:left w:val="nil"/>
              <w:bottom w:val="single" w:sz="8" w:space="0" w:color="92876D"/>
            </w:tcBorders>
          </w:tcPr>
          <w:p w:rsidR="0044064A" w:rsidRPr="001C0A87" w:rsidRDefault="0044064A" w:rsidP="0050700F">
            <w:pPr>
              <w:cnfStyle w:val="010000000000" w:firstRow="0" w:lastRow="1" w:firstColumn="0" w:lastColumn="0" w:oddVBand="0" w:evenVBand="0" w:oddHBand="0" w:evenHBand="0" w:firstRowFirstColumn="0" w:firstRowLastColumn="0" w:lastRowFirstColumn="0" w:lastRowLastColumn="0"/>
              <w:rPr>
                <w:rFonts w:ascii="Arial Narrow" w:hAnsi="Arial Narrow"/>
                <w:noProof/>
                <w:szCs w:val="20"/>
              </w:rPr>
            </w:pPr>
            <w:r>
              <w:rPr>
                <w:rFonts w:ascii="Arial Narrow" w:hAnsi="Arial Narrow"/>
                <w:noProof/>
                <w:szCs w:val="20"/>
              </w:rPr>
              <w:t>4</w:t>
            </w:r>
            <w:r w:rsidR="003D6C6C">
              <w:rPr>
                <w:rFonts w:ascii="Arial Narrow" w:hAnsi="Arial Narrow"/>
                <w:noProof/>
                <w:szCs w:val="20"/>
              </w:rPr>
              <w:t>5</w:t>
            </w:r>
            <w:r>
              <w:rPr>
                <w:rFonts w:ascii="Arial Narrow" w:hAnsi="Arial Narrow"/>
                <w:noProof/>
                <w:szCs w:val="20"/>
              </w:rPr>
              <w:t>.5</w:t>
            </w:r>
            <w:r w:rsidR="003D6C6C">
              <w:rPr>
                <w:rFonts w:ascii="Arial Narrow" w:hAnsi="Arial Narrow"/>
                <w:noProof/>
                <w:szCs w:val="20"/>
              </w:rPr>
              <w:t>0</w:t>
            </w:r>
          </w:p>
        </w:tc>
        <w:tc>
          <w:tcPr>
            <w:tcW w:w="1364" w:type="dxa"/>
            <w:tcBorders>
              <w:right w:val="nil"/>
            </w:tcBorders>
          </w:tcPr>
          <w:p w:rsidR="0044064A" w:rsidRPr="001C0A87" w:rsidRDefault="0044064A" w:rsidP="0050700F">
            <w:pPr>
              <w:cnfStyle w:val="010000000000" w:firstRow="0" w:lastRow="1" w:firstColumn="0" w:lastColumn="0" w:oddVBand="0" w:evenVBand="0" w:oddHBand="0" w:evenHBand="0" w:firstRowFirstColumn="0" w:firstRowLastColumn="0" w:lastRowFirstColumn="0" w:lastRowLastColumn="0"/>
              <w:rPr>
                <w:rFonts w:ascii="Arial Narrow" w:hAnsi="Arial Narrow"/>
                <w:noProof/>
                <w:szCs w:val="20"/>
              </w:rPr>
            </w:pPr>
            <w:r>
              <w:rPr>
                <w:rFonts w:ascii="Arial Narrow" w:hAnsi="Arial Narrow"/>
                <w:noProof/>
                <w:szCs w:val="20"/>
              </w:rPr>
              <w:t>3</w:t>
            </w:r>
            <w:r w:rsidR="003D6C6C">
              <w:rPr>
                <w:rFonts w:ascii="Arial Narrow" w:hAnsi="Arial Narrow"/>
                <w:noProof/>
                <w:szCs w:val="20"/>
              </w:rPr>
              <w:t>11.63</w:t>
            </w:r>
          </w:p>
        </w:tc>
      </w:tr>
    </w:tbl>
    <w:p w:rsidR="009F03AF" w:rsidRDefault="009F03AF"/>
    <w:p w:rsidR="008353DE" w:rsidRPr="009F03AF" w:rsidRDefault="008353DE" w:rsidP="008353DE">
      <w:pPr>
        <w:pStyle w:val="Caption"/>
        <w:jc w:val="left"/>
        <w:rPr>
          <w:color w:val="auto"/>
        </w:rPr>
      </w:pPr>
      <w:bookmarkStart w:id="11" w:name="_Ref387313682"/>
      <w:bookmarkStart w:id="12" w:name="_Toc387271891"/>
      <w:bookmarkStart w:id="13" w:name="_Toc387936482"/>
      <w:r>
        <w:rPr>
          <w:color w:val="auto"/>
        </w:rPr>
        <w:lastRenderedPageBreak/>
        <w:t xml:space="preserve">Lighting Standards-Driven Savings </w:t>
      </w:r>
    </w:p>
    <w:p w:rsidR="008353DE" w:rsidRPr="008353DE" w:rsidRDefault="00090EBA" w:rsidP="008353DE">
      <w:pPr>
        <w:pStyle w:val="Caption"/>
        <w:jc w:val="left"/>
        <w:rPr>
          <w:color w:val="auto"/>
        </w:rPr>
      </w:pPr>
      <w:r>
        <w:rPr>
          <w:b w:val="0"/>
          <w:color w:val="auto"/>
        </w:rPr>
        <w:t>Table 3 and Table 4</w:t>
      </w:r>
      <w:r w:rsidR="008353DE">
        <w:rPr>
          <w:b w:val="0"/>
          <w:color w:val="auto"/>
        </w:rPr>
        <w:t xml:space="preserve"> show lighting savings driven by lighting standards in multiple time frames</w:t>
      </w:r>
      <w:r w:rsidR="00FB24C9">
        <w:rPr>
          <w:b w:val="0"/>
          <w:color w:val="auto"/>
        </w:rPr>
        <w:t>, above the Sixth Plan baseline</w:t>
      </w:r>
    </w:p>
    <w:p w:rsidR="008353DE" w:rsidRDefault="00090EBA" w:rsidP="008353DE">
      <w:pPr>
        <w:pStyle w:val="Caption"/>
      </w:pPr>
      <w:r>
        <w:t>Table 3</w:t>
      </w:r>
      <w:r w:rsidR="008353DE">
        <w:t xml:space="preserve">. Regional Lighting Standards Energy Savings (2010-2015) </w:t>
      </w:r>
    </w:p>
    <w:tbl>
      <w:tblPr>
        <w:tblStyle w:val="EnergyTable"/>
        <w:tblW w:w="9107" w:type="dxa"/>
        <w:tblLook w:val="04E0" w:firstRow="1" w:lastRow="1" w:firstColumn="1" w:lastColumn="0" w:noHBand="0" w:noVBand="1"/>
      </w:tblPr>
      <w:tblGrid>
        <w:gridCol w:w="2799"/>
        <w:gridCol w:w="1343"/>
        <w:gridCol w:w="1197"/>
        <w:gridCol w:w="916"/>
        <w:gridCol w:w="1116"/>
        <w:gridCol w:w="868"/>
        <w:gridCol w:w="868"/>
      </w:tblGrid>
      <w:tr w:rsidR="008353DE" w:rsidRPr="00A0583D" w:rsidTr="0050700F">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799" w:type="dxa"/>
            <w:hideMark/>
          </w:tcPr>
          <w:p w:rsidR="008353DE" w:rsidRPr="00A0583D" w:rsidRDefault="008353DE" w:rsidP="0050700F">
            <w:pPr>
              <w:rPr>
                <w:rFonts w:cs="Calibri"/>
                <w:szCs w:val="20"/>
              </w:rPr>
            </w:pPr>
          </w:p>
        </w:tc>
        <w:tc>
          <w:tcPr>
            <w:tcW w:w="1343" w:type="dxa"/>
            <w:hideMark/>
          </w:tcPr>
          <w:p w:rsidR="008353DE" w:rsidRPr="00A0583D" w:rsidRDefault="008353DE" w:rsidP="0050700F">
            <w:pPr>
              <w:cnfStyle w:val="100000000000" w:firstRow="1" w:lastRow="0" w:firstColumn="0" w:lastColumn="0" w:oddVBand="0" w:evenVBand="0" w:oddHBand="0" w:evenHBand="0" w:firstRowFirstColumn="0" w:firstRowLastColumn="0" w:lastRowFirstColumn="0" w:lastRowLastColumn="0"/>
              <w:rPr>
                <w:rFonts w:cs="Calibri"/>
                <w:szCs w:val="20"/>
              </w:rPr>
            </w:pPr>
            <w:r w:rsidRPr="00A0583D">
              <w:rPr>
                <w:rFonts w:cs="Calibri"/>
                <w:szCs w:val="20"/>
              </w:rPr>
              <w:t>2010</w:t>
            </w:r>
          </w:p>
        </w:tc>
        <w:tc>
          <w:tcPr>
            <w:tcW w:w="1197" w:type="dxa"/>
            <w:hideMark/>
          </w:tcPr>
          <w:p w:rsidR="008353DE" w:rsidRPr="00A0583D" w:rsidRDefault="008353DE" w:rsidP="0050700F">
            <w:pPr>
              <w:cnfStyle w:val="100000000000" w:firstRow="1" w:lastRow="0" w:firstColumn="0" w:lastColumn="0" w:oddVBand="0" w:evenVBand="0" w:oddHBand="0" w:evenHBand="0" w:firstRowFirstColumn="0" w:firstRowLastColumn="0" w:lastRowFirstColumn="0" w:lastRowLastColumn="0"/>
              <w:rPr>
                <w:rFonts w:cs="Calibri"/>
                <w:szCs w:val="20"/>
              </w:rPr>
            </w:pPr>
            <w:r w:rsidRPr="00A0583D">
              <w:rPr>
                <w:rFonts w:cs="Calibri"/>
                <w:szCs w:val="20"/>
              </w:rPr>
              <w:t>2011</w:t>
            </w:r>
          </w:p>
        </w:tc>
        <w:tc>
          <w:tcPr>
            <w:tcW w:w="916" w:type="dxa"/>
            <w:hideMark/>
          </w:tcPr>
          <w:p w:rsidR="008353DE" w:rsidRPr="00A0583D" w:rsidRDefault="008353DE" w:rsidP="0050700F">
            <w:pPr>
              <w:cnfStyle w:val="100000000000" w:firstRow="1" w:lastRow="0" w:firstColumn="0" w:lastColumn="0" w:oddVBand="0" w:evenVBand="0" w:oddHBand="0" w:evenHBand="0" w:firstRowFirstColumn="0" w:firstRowLastColumn="0" w:lastRowFirstColumn="0" w:lastRowLastColumn="0"/>
              <w:rPr>
                <w:rFonts w:cs="Calibri"/>
                <w:szCs w:val="20"/>
              </w:rPr>
            </w:pPr>
            <w:r w:rsidRPr="00A0583D">
              <w:rPr>
                <w:rFonts w:cs="Calibri"/>
                <w:szCs w:val="20"/>
              </w:rPr>
              <w:t>2012</w:t>
            </w:r>
          </w:p>
        </w:tc>
        <w:tc>
          <w:tcPr>
            <w:tcW w:w="1116" w:type="dxa"/>
            <w:hideMark/>
          </w:tcPr>
          <w:p w:rsidR="008353DE" w:rsidRPr="00A0583D" w:rsidRDefault="008353DE" w:rsidP="0050700F">
            <w:pPr>
              <w:cnfStyle w:val="100000000000" w:firstRow="1" w:lastRow="0" w:firstColumn="0" w:lastColumn="0" w:oddVBand="0" w:evenVBand="0" w:oddHBand="0" w:evenHBand="0" w:firstRowFirstColumn="0" w:firstRowLastColumn="0" w:lastRowFirstColumn="0" w:lastRowLastColumn="0"/>
              <w:rPr>
                <w:rFonts w:cs="Calibri"/>
                <w:szCs w:val="20"/>
              </w:rPr>
            </w:pPr>
            <w:r w:rsidRPr="00A0583D">
              <w:rPr>
                <w:rFonts w:cs="Calibri"/>
                <w:szCs w:val="20"/>
              </w:rPr>
              <w:t>2013</w:t>
            </w:r>
          </w:p>
        </w:tc>
        <w:tc>
          <w:tcPr>
            <w:tcW w:w="868" w:type="dxa"/>
            <w:hideMark/>
          </w:tcPr>
          <w:p w:rsidR="008353DE" w:rsidRPr="00A0583D" w:rsidRDefault="008353DE" w:rsidP="0050700F">
            <w:pPr>
              <w:cnfStyle w:val="100000000000" w:firstRow="1" w:lastRow="0" w:firstColumn="0" w:lastColumn="0" w:oddVBand="0" w:evenVBand="0" w:oddHBand="0" w:evenHBand="0" w:firstRowFirstColumn="0" w:firstRowLastColumn="0" w:lastRowFirstColumn="0" w:lastRowLastColumn="0"/>
              <w:rPr>
                <w:rFonts w:cs="Calibri"/>
                <w:szCs w:val="20"/>
              </w:rPr>
            </w:pPr>
            <w:r w:rsidRPr="00A0583D">
              <w:rPr>
                <w:rFonts w:cs="Calibri"/>
                <w:szCs w:val="20"/>
              </w:rPr>
              <w:t>2014</w:t>
            </w:r>
          </w:p>
        </w:tc>
        <w:tc>
          <w:tcPr>
            <w:tcW w:w="868" w:type="dxa"/>
          </w:tcPr>
          <w:p w:rsidR="008353DE" w:rsidRPr="00A0583D" w:rsidRDefault="008353DE" w:rsidP="0050700F">
            <w:pPr>
              <w:cnfStyle w:val="100000000000" w:firstRow="1" w:lastRow="0" w:firstColumn="0" w:lastColumn="0" w:oddVBand="0" w:evenVBand="0" w:oddHBand="0" w:evenHBand="0" w:firstRowFirstColumn="0" w:firstRowLastColumn="0" w:lastRowFirstColumn="0" w:lastRowLastColumn="0"/>
              <w:rPr>
                <w:rFonts w:cs="Calibri"/>
                <w:szCs w:val="20"/>
              </w:rPr>
            </w:pPr>
            <w:r>
              <w:rPr>
                <w:rFonts w:cs="Calibri"/>
                <w:szCs w:val="20"/>
              </w:rPr>
              <w:t>2015</w:t>
            </w:r>
          </w:p>
        </w:tc>
      </w:tr>
      <w:tr w:rsidR="008353DE" w:rsidRPr="00A0583D" w:rsidTr="0050700F">
        <w:trPr>
          <w:cnfStyle w:val="010000000000" w:firstRow="0" w:lastRow="1"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799" w:type="dxa"/>
            <w:noWrap/>
          </w:tcPr>
          <w:p w:rsidR="008353DE" w:rsidRPr="00A0583D" w:rsidRDefault="008353DE" w:rsidP="0050700F">
            <w:pPr>
              <w:rPr>
                <w:rFonts w:cs="Calibri"/>
                <w:color w:val="000000"/>
                <w:szCs w:val="20"/>
              </w:rPr>
            </w:pPr>
            <w:r>
              <w:rPr>
                <w:rFonts w:cs="Calibri"/>
                <w:color w:val="000000"/>
                <w:szCs w:val="20"/>
              </w:rPr>
              <w:t>First-Year Savings (</w:t>
            </w:r>
            <w:proofErr w:type="spellStart"/>
            <w:r>
              <w:rPr>
                <w:rFonts w:cs="Calibri"/>
                <w:color w:val="000000"/>
                <w:szCs w:val="20"/>
              </w:rPr>
              <w:t>aMW</w:t>
            </w:r>
            <w:proofErr w:type="spellEnd"/>
            <w:r>
              <w:rPr>
                <w:rFonts w:cs="Calibri"/>
                <w:color w:val="000000"/>
                <w:szCs w:val="20"/>
              </w:rPr>
              <w:t>)</w:t>
            </w:r>
          </w:p>
        </w:tc>
        <w:tc>
          <w:tcPr>
            <w:tcW w:w="1343" w:type="dxa"/>
            <w:noWrap/>
          </w:tcPr>
          <w:p w:rsidR="008353DE" w:rsidRPr="00A0583D" w:rsidRDefault="008353DE" w:rsidP="0050700F">
            <w:pPr>
              <w:cnfStyle w:val="010000000000" w:firstRow="0" w:lastRow="1"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0</w:t>
            </w:r>
          </w:p>
        </w:tc>
        <w:tc>
          <w:tcPr>
            <w:tcW w:w="1197" w:type="dxa"/>
            <w:noWrap/>
          </w:tcPr>
          <w:p w:rsidR="008353DE" w:rsidRPr="00A0583D" w:rsidRDefault="008353DE" w:rsidP="0050700F">
            <w:pPr>
              <w:cnfStyle w:val="010000000000" w:firstRow="0" w:lastRow="1"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3.9</w:t>
            </w:r>
          </w:p>
        </w:tc>
        <w:tc>
          <w:tcPr>
            <w:tcW w:w="916" w:type="dxa"/>
            <w:noWrap/>
          </w:tcPr>
          <w:p w:rsidR="008353DE" w:rsidRPr="00A0583D" w:rsidRDefault="008353DE" w:rsidP="0050700F">
            <w:pPr>
              <w:cnfStyle w:val="010000000000" w:firstRow="0" w:lastRow="1"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13.9</w:t>
            </w:r>
          </w:p>
        </w:tc>
        <w:tc>
          <w:tcPr>
            <w:tcW w:w="1116" w:type="dxa"/>
            <w:noWrap/>
          </w:tcPr>
          <w:p w:rsidR="008353DE" w:rsidRPr="00A0583D" w:rsidRDefault="008353DE" w:rsidP="0050700F">
            <w:pPr>
              <w:cnfStyle w:val="010000000000" w:firstRow="0" w:lastRow="1"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21.1</w:t>
            </w:r>
          </w:p>
        </w:tc>
        <w:tc>
          <w:tcPr>
            <w:tcW w:w="868" w:type="dxa"/>
            <w:noWrap/>
          </w:tcPr>
          <w:p w:rsidR="008353DE" w:rsidRPr="00A0583D" w:rsidRDefault="008353DE" w:rsidP="0050700F">
            <w:pPr>
              <w:cnfStyle w:val="010000000000" w:firstRow="0" w:lastRow="1"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23.1</w:t>
            </w:r>
          </w:p>
        </w:tc>
        <w:tc>
          <w:tcPr>
            <w:tcW w:w="868" w:type="dxa"/>
          </w:tcPr>
          <w:p w:rsidR="008353DE" w:rsidRPr="00A0583D" w:rsidDel="009E665D" w:rsidRDefault="008353DE" w:rsidP="0050700F">
            <w:pPr>
              <w:cnfStyle w:val="010000000000" w:firstRow="0" w:lastRow="1"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18.0</w:t>
            </w:r>
          </w:p>
        </w:tc>
      </w:tr>
    </w:tbl>
    <w:p w:rsidR="008353DE" w:rsidRDefault="008353DE" w:rsidP="008353DE">
      <w:pPr>
        <w:pStyle w:val="Caption"/>
        <w:jc w:val="left"/>
        <w:rPr>
          <w:color w:val="auto"/>
        </w:rPr>
      </w:pPr>
    </w:p>
    <w:p w:rsidR="008353DE" w:rsidRDefault="00090EBA" w:rsidP="008353DE">
      <w:pPr>
        <w:pStyle w:val="Caption"/>
      </w:pPr>
      <w:r>
        <w:t>Table 4</w:t>
      </w:r>
      <w:r w:rsidR="008353DE">
        <w:t>. Regional Lighting Standards Energy Savings by Year-bin</w:t>
      </w:r>
    </w:p>
    <w:tbl>
      <w:tblPr>
        <w:tblStyle w:val="EnergyTable"/>
        <w:tblW w:w="9214" w:type="dxa"/>
        <w:tblLayout w:type="fixed"/>
        <w:tblLook w:val="04E0" w:firstRow="1" w:lastRow="1" w:firstColumn="1" w:lastColumn="0" w:noHBand="0" w:noVBand="1"/>
      </w:tblPr>
      <w:tblGrid>
        <w:gridCol w:w="2880"/>
        <w:gridCol w:w="1287"/>
        <w:gridCol w:w="1288"/>
        <w:gridCol w:w="1288"/>
        <w:gridCol w:w="1288"/>
        <w:gridCol w:w="1183"/>
      </w:tblGrid>
      <w:tr w:rsidR="008353DE" w:rsidRPr="00A0583D" w:rsidTr="0050700F">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880" w:type="dxa"/>
            <w:hideMark/>
          </w:tcPr>
          <w:p w:rsidR="008353DE" w:rsidRPr="00A0583D" w:rsidRDefault="008353DE" w:rsidP="0050700F">
            <w:pPr>
              <w:rPr>
                <w:rFonts w:cs="Calibri"/>
                <w:szCs w:val="20"/>
              </w:rPr>
            </w:pPr>
          </w:p>
        </w:tc>
        <w:tc>
          <w:tcPr>
            <w:tcW w:w="1287" w:type="dxa"/>
            <w:hideMark/>
          </w:tcPr>
          <w:p w:rsidR="008353DE" w:rsidRPr="00A0583D" w:rsidRDefault="008353DE" w:rsidP="0050700F">
            <w:pPr>
              <w:cnfStyle w:val="100000000000" w:firstRow="1" w:lastRow="0" w:firstColumn="0" w:lastColumn="0" w:oddVBand="0" w:evenVBand="0" w:oddHBand="0" w:evenHBand="0" w:firstRowFirstColumn="0" w:firstRowLastColumn="0" w:lastRowFirstColumn="0" w:lastRowLastColumn="0"/>
              <w:rPr>
                <w:rFonts w:cs="Calibri"/>
                <w:szCs w:val="20"/>
              </w:rPr>
            </w:pPr>
            <w:r w:rsidRPr="00A0583D">
              <w:rPr>
                <w:rFonts w:cs="Calibri"/>
                <w:szCs w:val="20"/>
              </w:rPr>
              <w:t>2010</w:t>
            </w:r>
            <w:r>
              <w:rPr>
                <w:rFonts w:cs="Calibri"/>
                <w:szCs w:val="20"/>
              </w:rPr>
              <w:t>-2015</w:t>
            </w:r>
          </w:p>
        </w:tc>
        <w:tc>
          <w:tcPr>
            <w:tcW w:w="1288" w:type="dxa"/>
            <w:hideMark/>
          </w:tcPr>
          <w:p w:rsidR="008353DE" w:rsidRPr="00A0583D" w:rsidRDefault="008353DE" w:rsidP="0050700F">
            <w:pPr>
              <w:cnfStyle w:val="100000000000" w:firstRow="1" w:lastRow="0" w:firstColumn="0" w:lastColumn="0" w:oddVBand="0" w:evenVBand="0" w:oddHBand="0" w:evenHBand="0" w:firstRowFirstColumn="0" w:firstRowLastColumn="0" w:lastRowFirstColumn="0" w:lastRowLastColumn="0"/>
              <w:rPr>
                <w:rFonts w:cs="Calibri"/>
                <w:szCs w:val="20"/>
              </w:rPr>
            </w:pPr>
            <w:r>
              <w:rPr>
                <w:rFonts w:cs="Calibri"/>
                <w:szCs w:val="20"/>
              </w:rPr>
              <w:t>2016-2020</w:t>
            </w:r>
          </w:p>
        </w:tc>
        <w:tc>
          <w:tcPr>
            <w:tcW w:w="1288" w:type="dxa"/>
            <w:hideMark/>
          </w:tcPr>
          <w:p w:rsidR="008353DE" w:rsidRPr="00A0583D" w:rsidRDefault="008353DE" w:rsidP="0050700F">
            <w:pPr>
              <w:cnfStyle w:val="100000000000" w:firstRow="1" w:lastRow="0" w:firstColumn="0" w:lastColumn="0" w:oddVBand="0" w:evenVBand="0" w:oddHBand="0" w:evenHBand="0" w:firstRowFirstColumn="0" w:firstRowLastColumn="0" w:lastRowFirstColumn="0" w:lastRowLastColumn="0"/>
              <w:rPr>
                <w:rFonts w:cs="Calibri"/>
                <w:szCs w:val="20"/>
              </w:rPr>
            </w:pPr>
            <w:r>
              <w:rPr>
                <w:rFonts w:cs="Calibri"/>
                <w:szCs w:val="20"/>
              </w:rPr>
              <w:t>2021-2025</w:t>
            </w:r>
          </w:p>
        </w:tc>
        <w:tc>
          <w:tcPr>
            <w:tcW w:w="1288" w:type="dxa"/>
            <w:hideMark/>
          </w:tcPr>
          <w:p w:rsidR="008353DE" w:rsidRPr="00A0583D" w:rsidRDefault="008353DE" w:rsidP="0050700F">
            <w:pPr>
              <w:cnfStyle w:val="100000000000" w:firstRow="1" w:lastRow="0" w:firstColumn="0" w:lastColumn="0" w:oddVBand="0" w:evenVBand="0" w:oddHBand="0" w:evenHBand="0" w:firstRowFirstColumn="0" w:firstRowLastColumn="0" w:lastRowFirstColumn="0" w:lastRowLastColumn="0"/>
              <w:rPr>
                <w:rFonts w:cs="Calibri"/>
                <w:szCs w:val="20"/>
              </w:rPr>
            </w:pPr>
            <w:r>
              <w:rPr>
                <w:rFonts w:cs="Calibri"/>
                <w:szCs w:val="20"/>
              </w:rPr>
              <w:t>2026-2030</w:t>
            </w:r>
          </w:p>
        </w:tc>
        <w:tc>
          <w:tcPr>
            <w:tcW w:w="1183" w:type="dxa"/>
            <w:hideMark/>
          </w:tcPr>
          <w:p w:rsidR="008353DE" w:rsidRPr="00A0583D" w:rsidRDefault="008353DE" w:rsidP="0050700F">
            <w:pPr>
              <w:cnfStyle w:val="100000000000" w:firstRow="1" w:lastRow="0" w:firstColumn="0" w:lastColumn="0" w:oddVBand="0" w:evenVBand="0" w:oddHBand="0" w:evenHBand="0" w:firstRowFirstColumn="0" w:firstRowLastColumn="0" w:lastRowFirstColumn="0" w:lastRowLastColumn="0"/>
              <w:rPr>
                <w:rFonts w:cs="Calibri"/>
                <w:szCs w:val="20"/>
              </w:rPr>
            </w:pPr>
            <w:r>
              <w:rPr>
                <w:rFonts w:cs="Calibri"/>
                <w:szCs w:val="20"/>
              </w:rPr>
              <w:t>2031-2035</w:t>
            </w:r>
          </w:p>
        </w:tc>
      </w:tr>
      <w:tr w:rsidR="008353DE" w:rsidRPr="00A0583D" w:rsidTr="0050700F">
        <w:trPr>
          <w:cnfStyle w:val="010000000000" w:firstRow="0" w:lastRow="1"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880" w:type="dxa"/>
            <w:noWrap/>
          </w:tcPr>
          <w:p w:rsidR="008353DE" w:rsidRPr="00A0583D" w:rsidRDefault="008353DE" w:rsidP="0050700F">
            <w:pPr>
              <w:rPr>
                <w:rFonts w:cs="Calibri"/>
                <w:color w:val="000000"/>
                <w:szCs w:val="20"/>
              </w:rPr>
            </w:pPr>
            <w:r>
              <w:rPr>
                <w:rFonts w:cs="Calibri"/>
                <w:color w:val="000000"/>
                <w:szCs w:val="20"/>
              </w:rPr>
              <w:t>First-Year Savings (</w:t>
            </w:r>
            <w:proofErr w:type="spellStart"/>
            <w:r>
              <w:rPr>
                <w:rFonts w:cs="Calibri"/>
                <w:color w:val="000000"/>
                <w:szCs w:val="20"/>
              </w:rPr>
              <w:t>aMW</w:t>
            </w:r>
            <w:proofErr w:type="spellEnd"/>
            <w:r>
              <w:rPr>
                <w:rFonts w:cs="Calibri"/>
                <w:color w:val="000000"/>
                <w:szCs w:val="20"/>
              </w:rPr>
              <w:t>)</w:t>
            </w:r>
          </w:p>
        </w:tc>
        <w:tc>
          <w:tcPr>
            <w:tcW w:w="1287" w:type="dxa"/>
            <w:noWrap/>
          </w:tcPr>
          <w:p w:rsidR="008353DE" w:rsidRPr="00A0583D" w:rsidRDefault="008353DE" w:rsidP="0050700F">
            <w:pPr>
              <w:cnfStyle w:val="010000000000" w:firstRow="0" w:lastRow="1"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80.0</w:t>
            </w:r>
          </w:p>
        </w:tc>
        <w:tc>
          <w:tcPr>
            <w:tcW w:w="1288" w:type="dxa"/>
            <w:noWrap/>
          </w:tcPr>
          <w:p w:rsidR="008353DE" w:rsidRPr="00A0583D" w:rsidRDefault="008353DE" w:rsidP="0050700F">
            <w:pPr>
              <w:cnfStyle w:val="010000000000" w:firstRow="0" w:lastRow="1"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48.1</w:t>
            </w:r>
          </w:p>
        </w:tc>
        <w:tc>
          <w:tcPr>
            <w:tcW w:w="1288" w:type="dxa"/>
            <w:noWrap/>
          </w:tcPr>
          <w:p w:rsidR="008353DE" w:rsidRPr="00A0583D" w:rsidRDefault="008353DE" w:rsidP="0050700F">
            <w:pPr>
              <w:cnfStyle w:val="010000000000" w:firstRow="0" w:lastRow="1"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10.1</w:t>
            </w:r>
          </w:p>
        </w:tc>
        <w:tc>
          <w:tcPr>
            <w:tcW w:w="1288" w:type="dxa"/>
            <w:noWrap/>
          </w:tcPr>
          <w:p w:rsidR="008353DE" w:rsidRPr="00A0583D" w:rsidRDefault="008353DE" w:rsidP="0050700F">
            <w:pPr>
              <w:cnfStyle w:val="010000000000" w:firstRow="0" w:lastRow="1"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5.9</w:t>
            </w:r>
          </w:p>
        </w:tc>
        <w:tc>
          <w:tcPr>
            <w:tcW w:w="1183" w:type="dxa"/>
            <w:noWrap/>
          </w:tcPr>
          <w:p w:rsidR="008353DE" w:rsidRPr="00A0583D" w:rsidRDefault="008353DE" w:rsidP="0050700F">
            <w:pPr>
              <w:cnfStyle w:val="010000000000" w:firstRow="0" w:lastRow="1"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6.7</w:t>
            </w:r>
          </w:p>
        </w:tc>
      </w:tr>
    </w:tbl>
    <w:p w:rsidR="008353DE" w:rsidRDefault="008353DE" w:rsidP="009F03AF">
      <w:pPr>
        <w:pStyle w:val="Caption"/>
        <w:jc w:val="left"/>
        <w:rPr>
          <w:color w:val="auto"/>
        </w:rPr>
      </w:pPr>
    </w:p>
    <w:p w:rsidR="009F03AF" w:rsidRPr="009F03AF" w:rsidRDefault="009F03AF" w:rsidP="009F03AF">
      <w:pPr>
        <w:pStyle w:val="Caption"/>
        <w:jc w:val="left"/>
        <w:rPr>
          <w:color w:val="auto"/>
        </w:rPr>
      </w:pPr>
      <w:r>
        <w:rPr>
          <w:color w:val="auto"/>
        </w:rPr>
        <w:t xml:space="preserve">Baseline Adjustments by Product </w:t>
      </w:r>
    </w:p>
    <w:p w:rsidR="009F03AF" w:rsidRDefault="009F03AF" w:rsidP="009F03AF">
      <w:r>
        <w:t xml:space="preserve">The one-time baseline adjustment account for the difference between the Sixth Power Plan’s assumed market shipments and baseline UEC in 2010 and </w:t>
      </w:r>
      <w:r w:rsidR="00963BE0">
        <w:t xml:space="preserve">those the team </w:t>
      </w:r>
      <w:r>
        <w:t>modeled</w:t>
      </w:r>
      <w:r w:rsidR="00963BE0">
        <w:t xml:space="preserve"> in the standard analysis</w:t>
      </w:r>
      <w:r>
        <w:t xml:space="preserve"> us</w:t>
      </w:r>
      <w:r w:rsidR="00090EBA">
        <w:t>ing best available data. Table 5 and Table 6</w:t>
      </w:r>
      <w:r>
        <w:t xml:space="preserve"> lay out the baseline adjustments by product.</w:t>
      </w:r>
    </w:p>
    <w:p w:rsidR="009F03AF" w:rsidRDefault="009F03AF" w:rsidP="009F03AF">
      <w:pPr>
        <w:pStyle w:val="Caption"/>
        <w:jc w:val="left"/>
      </w:pPr>
    </w:p>
    <w:p w:rsidR="009F03AF" w:rsidRDefault="009F03AF" w:rsidP="009F03AF">
      <w:pPr>
        <w:pStyle w:val="Caption"/>
      </w:pPr>
      <w:r>
        <w:t xml:space="preserve">Table </w:t>
      </w:r>
      <w:bookmarkEnd w:id="11"/>
      <w:r w:rsidR="00090EBA">
        <w:t>5</w:t>
      </w:r>
      <w:r>
        <w:t xml:space="preserve">. Residential Products’ </w:t>
      </w:r>
      <w:r w:rsidR="00FB24C9">
        <w:t xml:space="preserve">one- time </w:t>
      </w:r>
      <w:r>
        <w:t xml:space="preserve">Baseline Adjustments </w:t>
      </w:r>
      <w:bookmarkEnd w:id="12"/>
      <w:bookmarkEnd w:id="13"/>
    </w:p>
    <w:tbl>
      <w:tblPr>
        <w:tblW w:w="7935" w:type="dxa"/>
        <w:jc w:val="center"/>
        <w:tblLook w:val="04E0" w:firstRow="1" w:lastRow="1" w:firstColumn="1" w:lastColumn="0" w:noHBand="0" w:noVBand="1"/>
      </w:tblPr>
      <w:tblGrid>
        <w:gridCol w:w="3165"/>
        <w:gridCol w:w="2520"/>
        <w:gridCol w:w="2250"/>
      </w:tblGrid>
      <w:tr w:rsidR="009F03AF" w:rsidRPr="000F30DC" w:rsidTr="0050700F">
        <w:trPr>
          <w:trHeight w:val="576"/>
          <w:jc w:val="center"/>
        </w:trPr>
        <w:tc>
          <w:tcPr>
            <w:tcW w:w="3165" w:type="dxa"/>
            <w:tcBorders>
              <w:top w:val="single" w:sz="8" w:space="0" w:color="DDD9C3"/>
              <w:left w:val="nil"/>
              <w:bottom w:val="single" w:sz="8" w:space="0" w:color="C5A41C"/>
              <w:right w:val="nil"/>
            </w:tcBorders>
            <w:shd w:val="clear" w:color="000000" w:fill="92876D"/>
            <w:vAlign w:val="center"/>
            <w:hideMark/>
          </w:tcPr>
          <w:p w:rsidR="009F03AF" w:rsidRPr="000F30DC" w:rsidRDefault="009F03AF" w:rsidP="0050700F">
            <w:pPr>
              <w:keepNext/>
              <w:keepLines/>
              <w:spacing w:before="40" w:after="40"/>
              <w:jc w:val="center"/>
              <w:rPr>
                <w:rFonts w:ascii="Arial Narrow" w:hAnsi="Arial Narrow"/>
                <w:b/>
                <w:bCs/>
                <w:color w:val="FFFFFF"/>
                <w:szCs w:val="20"/>
              </w:rPr>
            </w:pPr>
            <w:r w:rsidRPr="000F30DC">
              <w:rPr>
                <w:rFonts w:ascii="Arial Narrow" w:hAnsi="Arial Narrow"/>
                <w:b/>
                <w:bCs/>
                <w:noProof/>
                <w:color w:val="FFFFFF" w:themeColor="background1"/>
                <w:szCs w:val="20"/>
              </w:rPr>
              <w:t>Product</w:t>
            </w:r>
          </w:p>
        </w:tc>
        <w:tc>
          <w:tcPr>
            <w:tcW w:w="2520" w:type="dxa"/>
            <w:tcBorders>
              <w:top w:val="single" w:sz="8" w:space="0" w:color="DDD9C3"/>
              <w:left w:val="nil"/>
              <w:bottom w:val="single" w:sz="8" w:space="0" w:color="C5A41C"/>
              <w:right w:val="nil"/>
            </w:tcBorders>
            <w:shd w:val="clear" w:color="000000" w:fill="92876D"/>
            <w:vAlign w:val="center"/>
            <w:hideMark/>
          </w:tcPr>
          <w:p w:rsidR="009F03AF" w:rsidRPr="000F30DC" w:rsidRDefault="009F03AF" w:rsidP="0050700F">
            <w:pPr>
              <w:keepNext/>
              <w:keepLines/>
              <w:spacing w:before="40" w:after="40"/>
              <w:jc w:val="center"/>
              <w:rPr>
                <w:rFonts w:ascii="Arial Narrow" w:hAnsi="Arial Narrow"/>
                <w:b/>
                <w:bCs/>
                <w:color w:val="FFFFFF"/>
                <w:szCs w:val="20"/>
              </w:rPr>
            </w:pPr>
            <w:r w:rsidRPr="000F30DC">
              <w:rPr>
                <w:rFonts w:ascii="Arial Narrow" w:hAnsi="Arial Narrow"/>
                <w:b/>
                <w:bCs/>
                <w:noProof/>
                <w:color w:val="FFFFFF" w:themeColor="background1"/>
                <w:szCs w:val="20"/>
              </w:rPr>
              <w:t>Regional Sixth Plan Baseline Adjustment (aMW)</w:t>
            </w:r>
          </w:p>
        </w:tc>
        <w:tc>
          <w:tcPr>
            <w:tcW w:w="2250" w:type="dxa"/>
            <w:tcBorders>
              <w:top w:val="single" w:sz="8" w:space="0" w:color="DDD9C3"/>
              <w:left w:val="nil"/>
              <w:bottom w:val="single" w:sz="8" w:space="0" w:color="C5A41C"/>
              <w:right w:val="nil"/>
            </w:tcBorders>
            <w:shd w:val="clear" w:color="000000" w:fill="92876D"/>
            <w:vAlign w:val="center"/>
            <w:hideMark/>
          </w:tcPr>
          <w:p w:rsidR="009F03AF" w:rsidRPr="000F30DC" w:rsidRDefault="009F03AF" w:rsidP="0050700F">
            <w:pPr>
              <w:keepNext/>
              <w:keepLines/>
              <w:spacing w:before="40" w:after="40"/>
              <w:jc w:val="center"/>
              <w:rPr>
                <w:rFonts w:ascii="Arial Narrow" w:hAnsi="Arial Narrow"/>
                <w:b/>
                <w:bCs/>
                <w:color w:val="FFFFFF"/>
                <w:szCs w:val="20"/>
              </w:rPr>
            </w:pPr>
            <w:r w:rsidRPr="000F30DC">
              <w:rPr>
                <w:rFonts w:ascii="Arial Narrow" w:hAnsi="Arial Narrow"/>
                <w:b/>
                <w:bCs/>
                <w:noProof/>
                <w:color w:val="FFFFFF" w:themeColor="background1"/>
                <w:szCs w:val="20"/>
              </w:rPr>
              <w:t>BPA Sixth Plan</w:t>
            </w:r>
            <w:r>
              <w:rPr>
                <w:rFonts w:ascii="Arial Narrow" w:hAnsi="Arial Narrow"/>
                <w:b/>
                <w:bCs/>
                <w:noProof/>
                <w:color w:val="FFFFFF" w:themeColor="background1"/>
                <w:szCs w:val="20"/>
              </w:rPr>
              <w:t xml:space="preserve"> </w:t>
            </w:r>
            <w:r w:rsidRPr="000F30DC">
              <w:rPr>
                <w:rFonts w:ascii="Arial Narrow" w:hAnsi="Arial Narrow"/>
                <w:b/>
                <w:bCs/>
                <w:noProof/>
                <w:color w:val="FFFFFF" w:themeColor="background1"/>
                <w:szCs w:val="20"/>
              </w:rPr>
              <w:t>Baseline Adjustment (aMW)</w:t>
            </w:r>
          </w:p>
        </w:tc>
      </w:tr>
      <w:tr w:rsidR="009F03AF" w:rsidRPr="000F30DC" w:rsidTr="0050700F">
        <w:trPr>
          <w:cantSplit/>
          <w:trHeight w:val="270"/>
          <w:jc w:val="center"/>
        </w:trPr>
        <w:tc>
          <w:tcPr>
            <w:tcW w:w="3165" w:type="dxa"/>
            <w:tcBorders>
              <w:top w:val="nil"/>
              <w:left w:val="nil"/>
              <w:bottom w:val="single" w:sz="8" w:space="0" w:color="DDD9C3"/>
              <w:right w:val="nil"/>
            </w:tcBorders>
            <w:shd w:val="clear" w:color="auto" w:fill="auto"/>
            <w:vAlign w:val="center"/>
            <w:hideMark/>
          </w:tcPr>
          <w:p w:rsidR="009F03AF" w:rsidRPr="000F30DC" w:rsidRDefault="009F03AF" w:rsidP="0050700F">
            <w:pPr>
              <w:keepNext/>
              <w:keepLines/>
              <w:spacing w:before="40" w:after="40"/>
              <w:rPr>
                <w:rFonts w:ascii="Arial Narrow" w:hAnsi="Arial Narrow"/>
                <w:color w:val="000000"/>
                <w:szCs w:val="20"/>
              </w:rPr>
            </w:pPr>
            <w:r w:rsidRPr="000F30DC">
              <w:rPr>
                <w:rFonts w:ascii="Arial Narrow" w:hAnsi="Arial Narrow"/>
                <w:noProof/>
                <w:color w:val="000000"/>
                <w:szCs w:val="20"/>
              </w:rPr>
              <w:t>Residential Dishwashers</w:t>
            </w:r>
          </w:p>
        </w:tc>
        <w:tc>
          <w:tcPr>
            <w:tcW w:w="2520" w:type="dxa"/>
            <w:tcBorders>
              <w:top w:val="nil"/>
              <w:left w:val="nil"/>
              <w:bottom w:val="single" w:sz="8" w:space="0" w:color="DDD9C3"/>
              <w:right w:val="nil"/>
            </w:tcBorders>
            <w:shd w:val="clear" w:color="auto" w:fill="auto"/>
            <w:vAlign w:val="center"/>
            <w:hideMark/>
          </w:tcPr>
          <w:p w:rsidR="009F03AF" w:rsidRPr="000F30DC" w:rsidRDefault="009F03AF" w:rsidP="0050700F">
            <w:pPr>
              <w:keepNext/>
              <w:keepLines/>
              <w:spacing w:before="40" w:after="40"/>
              <w:jc w:val="center"/>
              <w:rPr>
                <w:rFonts w:ascii="Arial Narrow" w:hAnsi="Arial Narrow"/>
                <w:color w:val="000000"/>
                <w:szCs w:val="20"/>
              </w:rPr>
            </w:pPr>
            <w:r w:rsidRPr="000F30DC">
              <w:rPr>
                <w:rFonts w:ascii="Arial Narrow" w:hAnsi="Arial Narrow"/>
                <w:noProof/>
                <w:color w:val="000000"/>
                <w:szCs w:val="20"/>
              </w:rPr>
              <w:t>5.3</w:t>
            </w:r>
          </w:p>
        </w:tc>
        <w:tc>
          <w:tcPr>
            <w:tcW w:w="2250" w:type="dxa"/>
            <w:tcBorders>
              <w:top w:val="nil"/>
              <w:left w:val="nil"/>
              <w:bottom w:val="single" w:sz="8" w:space="0" w:color="DDD9C3"/>
              <w:right w:val="nil"/>
            </w:tcBorders>
            <w:shd w:val="clear" w:color="auto" w:fill="auto"/>
            <w:vAlign w:val="center"/>
            <w:hideMark/>
          </w:tcPr>
          <w:p w:rsidR="009F03AF" w:rsidRPr="000F30DC" w:rsidRDefault="009F03AF" w:rsidP="0050700F">
            <w:pPr>
              <w:keepNext/>
              <w:keepLines/>
              <w:spacing w:before="40" w:after="40"/>
              <w:jc w:val="center"/>
              <w:rPr>
                <w:rFonts w:ascii="Arial Narrow" w:hAnsi="Arial Narrow"/>
                <w:color w:val="000000"/>
                <w:szCs w:val="20"/>
              </w:rPr>
            </w:pPr>
            <w:r w:rsidRPr="000F30DC">
              <w:rPr>
                <w:rFonts w:ascii="Arial Narrow" w:hAnsi="Arial Narrow"/>
                <w:noProof/>
                <w:color w:val="000000"/>
                <w:szCs w:val="20"/>
              </w:rPr>
              <w:t>2.4</w:t>
            </w:r>
          </w:p>
        </w:tc>
      </w:tr>
      <w:tr w:rsidR="009F03AF" w:rsidRPr="000F30DC" w:rsidTr="0050700F">
        <w:trPr>
          <w:cantSplit/>
          <w:trHeight w:val="270"/>
          <w:jc w:val="center"/>
        </w:trPr>
        <w:tc>
          <w:tcPr>
            <w:tcW w:w="3165" w:type="dxa"/>
            <w:tcBorders>
              <w:top w:val="nil"/>
              <w:left w:val="nil"/>
              <w:bottom w:val="single" w:sz="8" w:space="0" w:color="DDD9C3"/>
              <w:right w:val="nil"/>
            </w:tcBorders>
            <w:shd w:val="clear" w:color="000000" w:fill="DDD9C3"/>
            <w:vAlign w:val="center"/>
            <w:hideMark/>
          </w:tcPr>
          <w:p w:rsidR="009F03AF" w:rsidRPr="000F30DC" w:rsidRDefault="009F03AF" w:rsidP="0050700F">
            <w:pPr>
              <w:keepNext/>
              <w:keepLines/>
              <w:spacing w:before="40" w:after="40"/>
              <w:rPr>
                <w:rFonts w:ascii="Arial Narrow" w:hAnsi="Arial Narrow"/>
                <w:color w:val="000000"/>
                <w:szCs w:val="20"/>
              </w:rPr>
            </w:pPr>
            <w:r w:rsidRPr="000F30DC">
              <w:rPr>
                <w:rFonts w:ascii="Arial Narrow" w:hAnsi="Arial Narrow"/>
                <w:noProof/>
                <w:color w:val="000000"/>
                <w:szCs w:val="20"/>
              </w:rPr>
              <w:t>Residential Refrigerators</w:t>
            </w:r>
          </w:p>
        </w:tc>
        <w:tc>
          <w:tcPr>
            <w:tcW w:w="2520" w:type="dxa"/>
            <w:tcBorders>
              <w:top w:val="nil"/>
              <w:left w:val="nil"/>
              <w:bottom w:val="single" w:sz="8" w:space="0" w:color="DDD9C3"/>
              <w:right w:val="nil"/>
            </w:tcBorders>
            <w:shd w:val="clear" w:color="000000" w:fill="DDD9C3"/>
            <w:vAlign w:val="center"/>
            <w:hideMark/>
          </w:tcPr>
          <w:p w:rsidR="009F03AF" w:rsidRPr="000F30DC" w:rsidRDefault="009F03AF" w:rsidP="0050700F">
            <w:pPr>
              <w:keepNext/>
              <w:keepLines/>
              <w:spacing w:before="40" w:after="40"/>
              <w:jc w:val="center"/>
              <w:rPr>
                <w:rFonts w:ascii="Arial Narrow" w:hAnsi="Arial Narrow"/>
                <w:color w:val="000000"/>
                <w:szCs w:val="20"/>
              </w:rPr>
            </w:pPr>
            <w:r w:rsidRPr="000F30DC">
              <w:rPr>
                <w:rFonts w:ascii="Arial Narrow" w:hAnsi="Arial Narrow"/>
                <w:noProof/>
                <w:color w:val="000000"/>
                <w:szCs w:val="20"/>
              </w:rPr>
              <w:t>-3.7</w:t>
            </w:r>
          </w:p>
        </w:tc>
        <w:tc>
          <w:tcPr>
            <w:tcW w:w="2250" w:type="dxa"/>
            <w:tcBorders>
              <w:top w:val="nil"/>
              <w:left w:val="nil"/>
              <w:bottom w:val="single" w:sz="8" w:space="0" w:color="DDD9C3"/>
              <w:right w:val="nil"/>
            </w:tcBorders>
            <w:shd w:val="clear" w:color="000000" w:fill="DDD9C3"/>
            <w:vAlign w:val="center"/>
            <w:hideMark/>
          </w:tcPr>
          <w:p w:rsidR="009F03AF" w:rsidRPr="000F30DC" w:rsidRDefault="009F03AF" w:rsidP="0050700F">
            <w:pPr>
              <w:keepNext/>
              <w:keepLines/>
              <w:spacing w:before="40" w:after="40"/>
              <w:jc w:val="center"/>
              <w:rPr>
                <w:rFonts w:ascii="Arial Narrow" w:hAnsi="Arial Narrow"/>
                <w:color w:val="000000"/>
                <w:szCs w:val="20"/>
              </w:rPr>
            </w:pPr>
            <w:r w:rsidRPr="000F30DC">
              <w:rPr>
                <w:rFonts w:ascii="Arial Narrow" w:hAnsi="Arial Narrow"/>
                <w:noProof/>
                <w:color w:val="000000"/>
                <w:szCs w:val="20"/>
              </w:rPr>
              <w:t>-1.7</w:t>
            </w:r>
          </w:p>
        </w:tc>
      </w:tr>
      <w:tr w:rsidR="009F03AF" w:rsidRPr="000F30DC" w:rsidTr="0050700F">
        <w:trPr>
          <w:cantSplit/>
          <w:trHeight w:val="270"/>
          <w:jc w:val="center"/>
        </w:trPr>
        <w:tc>
          <w:tcPr>
            <w:tcW w:w="3165" w:type="dxa"/>
            <w:tcBorders>
              <w:top w:val="nil"/>
              <w:left w:val="nil"/>
              <w:bottom w:val="single" w:sz="8" w:space="0" w:color="DDD9C3"/>
              <w:right w:val="nil"/>
            </w:tcBorders>
            <w:shd w:val="clear" w:color="auto" w:fill="auto"/>
            <w:vAlign w:val="center"/>
            <w:hideMark/>
          </w:tcPr>
          <w:p w:rsidR="009F03AF" w:rsidRPr="000F30DC" w:rsidRDefault="009F03AF" w:rsidP="0050700F">
            <w:pPr>
              <w:keepNext/>
              <w:keepLines/>
              <w:spacing w:before="40" w:after="40"/>
              <w:rPr>
                <w:rFonts w:ascii="Arial Narrow" w:hAnsi="Arial Narrow"/>
                <w:color w:val="000000"/>
                <w:szCs w:val="20"/>
              </w:rPr>
            </w:pPr>
            <w:r w:rsidRPr="000F30DC">
              <w:rPr>
                <w:rFonts w:ascii="Arial Narrow" w:hAnsi="Arial Narrow"/>
                <w:noProof/>
                <w:color w:val="000000"/>
                <w:szCs w:val="20"/>
              </w:rPr>
              <w:t>Residential Freezers</w:t>
            </w:r>
          </w:p>
        </w:tc>
        <w:tc>
          <w:tcPr>
            <w:tcW w:w="2520" w:type="dxa"/>
            <w:tcBorders>
              <w:top w:val="nil"/>
              <w:left w:val="nil"/>
              <w:bottom w:val="single" w:sz="8" w:space="0" w:color="DDD9C3"/>
              <w:right w:val="nil"/>
            </w:tcBorders>
            <w:shd w:val="clear" w:color="auto" w:fill="auto"/>
            <w:vAlign w:val="center"/>
            <w:hideMark/>
          </w:tcPr>
          <w:p w:rsidR="009F03AF" w:rsidRPr="000F30DC" w:rsidRDefault="009F03AF" w:rsidP="0050700F">
            <w:pPr>
              <w:keepNext/>
              <w:keepLines/>
              <w:spacing w:before="40" w:after="40"/>
              <w:jc w:val="center"/>
              <w:rPr>
                <w:rFonts w:ascii="Arial Narrow" w:hAnsi="Arial Narrow"/>
                <w:color w:val="000000"/>
                <w:szCs w:val="20"/>
              </w:rPr>
            </w:pPr>
            <w:r w:rsidRPr="000F30DC">
              <w:rPr>
                <w:rFonts w:ascii="Arial Narrow" w:hAnsi="Arial Narrow"/>
                <w:noProof/>
                <w:color w:val="000000"/>
                <w:szCs w:val="20"/>
              </w:rPr>
              <w:t>4.6</w:t>
            </w:r>
          </w:p>
        </w:tc>
        <w:tc>
          <w:tcPr>
            <w:tcW w:w="2250" w:type="dxa"/>
            <w:tcBorders>
              <w:top w:val="nil"/>
              <w:left w:val="nil"/>
              <w:bottom w:val="single" w:sz="8" w:space="0" w:color="DDD9C3"/>
              <w:right w:val="nil"/>
            </w:tcBorders>
            <w:shd w:val="clear" w:color="auto" w:fill="auto"/>
            <w:vAlign w:val="center"/>
            <w:hideMark/>
          </w:tcPr>
          <w:p w:rsidR="009F03AF" w:rsidRPr="000F30DC" w:rsidRDefault="009F03AF" w:rsidP="0050700F">
            <w:pPr>
              <w:keepNext/>
              <w:keepLines/>
              <w:spacing w:before="40" w:after="40"/>
              <w:jc w:val="center"/>
              <w:rPr>
                <w:rFonts w:ascii="Arial Narrow" w:hAnsi="Arial Narrow"/>
                <w:color w:val="000000"/>
                <w:szCs w:val="20"/>
              </w:rPr>
            </w:pPr>
            <w:r w:rsidRPr="000F30DC">
              <w:rPr>
                <w:rFonts w:ascii="Arial Narrow" w:hAnsi="Arial Narrow"/>
                <w:noProof/>
                <w:color w:val="000000"/>
                <w:szCs w:val="20"/>
              </w:rPr>
              <w:t>2.1</w:t>
            </w:r>
          </w:p>
        </w:tc>
      </w:tr>
      <w:tr w:rsidR="009F03AF" w:rsidRPr="000F30DC" w:rsidTr="0050700F">
        <w:trPr>
          <w:cantSplit/>
          <w:trHeight w:val="270"/>
          <w:jc w:val="center"/>
        </w:trPr>
        <w:tc>
          <w:tcPr>
            <w:tcW w:w="3165" w:type="dxa"/>
            <w:tcBorders>
              <w:top w:val="nil"/>
              <w:left w:val="nil"/>
              <w:bottom w:val="single" w:sz="8" w:space="0" w:color="DDD9C3"/>
              <w:right w:val="nil"/>
            </w:tcBorders>
            <w:shd w:val="clear" w:color="000000" w:fill="DDD9C3"/>
            <w:vAlign w:val="center"/>
            <w:hideMark/>
          </w:tcPr>
          <w:p w:rsidR="009F03AF" w:rsidRPr="000F30DC" w:rsidRDefault="009F03AF" w:rsidP="0050700F">
            <w:pPr>
              <w:keepNext/>
              <w:keepLines/>
              <w:spacing w:before="40" w:after="40"/>
              <w:rPr>
                <w:rFonts w:ascii="Arial Narrow" w:hAnsi="Arial Narrow"/>
                <w:color w:val="000000"/>
                <w:szCs w:val="20"/>
              </w:rPr>
            </w:pPr>
            <w:r w:rsidRPr="000F30DC">
              <w:rPr>
                <w:rFonts w:ascii="Arial Narrow" w:hAnsi="Arial Narrow"/>
                <w:noProof/>
                <w:color w:val="000000"/>
                <w:szCs w:val="20"/>
              </w:rPr>
              <w:t>External Power Supplies</w:t>
            </w:r>
          </w:p>
        </w:tc>
        <w:tc>
          <w:tcPr>
            <w:tcW w:w="2520" w:type="dxa"/>
            <w:tcBorders>
              <w:top w:val="nil"/>
              <w:left w:val="nil"/>
              <w:bottom w:val="single" w:sz="8" w:space="0" w:color="DDD9C3"/>
              <w:right w:val="nil"/>
            </w:tcBorders>
            <w:shd w:val="clear" w:color="000000" w:fill="DDD9C3"/>
            <w:vAlign w:val="center"/>
            <w:hideMark/>
          </w:tcPr>
          <w:p w:rsidR="009F03AF" w:rsidRPr="000F30DC" w:rsidRDefault="009F03AF" w:rsidP="0050700F">
            <w:pPr>
              <w:keepNext/>
              <w:keepLines/>
              <w:spacing w:before="40" w:after="40"/>
              <w:jc w:val="center"/>
              <w:rPr>
                <w:rFonts w:ascii="Arial Narrow" w:hAnsi="Arial Narrow"/>
                <w:color w:val="000000"/>
                <w:szCs w:val="20"/>
              </w:rPr>
            </w:pPr>
            <w:r w:rsidRPr="000F30DC">
              <w:rPr>
                <w:rFonts w:ascii="Arial Narrow" w:hAnsi="Arial Narrow"/>
                <w:noProof/>
                <w:color w:val="000000"/>
                <w:szCs w:val="20"/>
              </w:rPr>
              <w:t>0</w:t>
            </w:r>
          </w:p>
        </w:tc>
        <w:tc>
          <w:tcPr>
            <w:tcW w:w="2250" w:type="dxa"/>
            <w:tcBorders>
              <w:top w:val="nil"/>
              <w:left w:val="nil"/>
              <w:bottom w:val="single" w:sz="8" w:space="0" w:color="DDD9C3"/>
              <w:right w:val="nil"/>
            </w:tcBorders>
            <w:shd w:val="clear" w:color="000000" w:fill="DDD9C3"/>
            <w:vAlign w:val="center"/>
            <w:hideMark/>
          </w:tcPr>
          <w:p w:rsidR="009F03AF" w:rsidRPr="000F30DC" w:rsidRDefault="009F03AF" w:rsidP="0050700F">
            <w:pPr>
              <w:keepNext/>
              <w:keepLines/>
              <w:spacing w:before="40" w:after="40"/>
              <w:jc w:val="center"/>
              <w:rPr>
                <w:rFonts w:ascii="Arial Narrow" w:hAnsi="Arial Narrow"/>
                <w:color w:val="000000"/>
                <w:szCs w:val="20"/>
              </w:rPr>
            </w:pPr>
            <w:r w:rsidRPr="000F30DC">
              <w:rPr>
                <w:rFonts w:ascii="Arial Narrow" w:hAnsi="Arial Narrow"/>
                <w:noProof/>
                <w:color w:val="000000"/>
                <w:szCs w:val="20"/>
              </w:rPr>
              <w:t>0</w:t>
            </w:r>
          </w:p>
        </w:tc>
      </w:tr>
      <w:tr w:rsidR="009F03AF" w:rsidRPr="000F30DC" w:rsidTr="0050700F">
        <w:trPr>
          <w:cantSplit/>
          <w:trHeight w:val="270"/>
          <w:jc w:val="center"/>
        </w:trPr>
        <w:tc>
          <w:tcPr>
            <w:tcW w:w="3165" w:type="dxa"/>
            <w:tcBorders>
              <w:top w:val="nil"/>
              <w:left w:val="nil"/>
              <w:bottom w:val="single" w:sz="8" w:space="0" w:color="DDD9C3"/>
              <w:right w:val="nil"/>
            </w:tcBorders>
            <w:shd w:val="clear" w:color="auto" w:fill="auto"/>
            <w:vAlign w:val="center"/>
            <w:hideMark/>
          </w:tcPr>
          <w:p w:rsidR="009F03AF" w:rsidRPr="000F30DC" w:rsidRDefault="009F03AF" w:rsidP="0050700F">
            <w:pPr>
              <w:keepNext/>
              <w:keepLines/>
              <w:spacing w:before="40" w:after="40"/>
              <w:rPr>
                <w:rFonts w:ascii="Arial Narrow" w:hAnsi="Arial Narrow"/>
                <w:color w:val="000000"/>
                <w:szCs w:val="20"/>
              </w:rPr>
            </w:pPr>
            <w:r w:rsidRPr="000F30DC">
              <w:rPr>
                <w:rFonts w:ascii="Arial Narrow" w:hAnsi="Arial Narrow"/>
                <w:noProof/>
                <w:color w:val="000000"/>
                <w:szCs w:val="20"/>
              </w:rPr>
              <w:t>Residential Clothes Washers</w:t>
            </w:r>
          </w:p>
        </w:tc>
        <w:tc>
          <w:tcPr>
            <w:tcW w:w="2520" w:type="dxa"/>
            <w:tcBorders>
              <w:top w:val="nil"/>
              <w:left w:val="nil"/>
              <w:bottom w:val="single" w:sz="8" w:space="0" w:color="DDD9C3"/>
              <w:right w:val="nil"/>
            </w:tcBorders>
            <w:shd w:val="clear" w:color="auto" w:fill="auto"/>
            <w:vAlign w:val="center"/>
            <w:hideMark/>
          </w:tcPr>
          <w:p w:rsidR="009F03AF" w:rsidRPr="000F30DC" w:rsidRDefault="009F03AF" w:rsidP="0050700F">
            <w:pPr>
              <w:keepNext/>
              <w:keepLines/>
              <w:spacing w:before="40" w:after="40"/>
              <w:jc w:val="center"/>
              <w:rPr>
                <w:rFonts w:ascii="Arial Narrow" w:hAnsi="Arial Narrow"/>
                <w:color w:val="000000"/>
                <w:szCs w:val="20"/>
              </w:rPr>
            </w:pPr>
            <w:r w:rsidRPr="000F30DC">
              <w:rPr>
                <w:rFonts w:ascii="Arial Narrow" w:hAnsi="Arial Narrow"/>
                <w:noProof/>
                <w:color w:val="000000"/>
                <w:szCs w:val="20"/>
              </w:rPr>
              <w:t>6.5</w:t>
            </w:r>
          </w:p>
        </w:tc>
        <w:tc>
          <w:tcPr>
            <w:tcW w:w="2250" w:type="dxa"/>
            <w:tcBorders>
              <w:top w:val="nil"/>
              <w:left w:val="nil"/>
              <w:bottom w:val="single" w:sz="8" w:space="0" w:color="DDD9C3"/>
              <w:right w:val="nil"/>
            </w:tcBorders>
            <w:shd w:val="clear" w:color="auto" w:fill="auto"/>
            <w:vAlign w:val="center"/>
            <w:hideMark/>
          </w:tcPr>
          <w:p w:rsidR="009F03AF" w:rsidRPr="000F30DC" w:rsidRDefault="009F03AF" w:rsidP="0050700F">
            <w:pPr>
              <w:keepNext/>
              <w:keepLines/>
              <w:spacing w:before="40" w:after="40"/>
              <w:jc w:val="center"/>
              <w:rPr>
                <w:rFonts w:ascii="Arial Narrow" w:hAnsi="Arial Narrow"/>
                <w:color w:val="000000"/>
                <w:szCs w:val="20"/>
              </w:rPr>
            </w:pPr>
            <w:r w:rsidRPr="000F30DC">
              <w:rPr>
                <w:rFonts w:ascii="Arial Narrow" w:hAnsi="Arial Narrow"/>
                <w:noProof/>
                <w:color w:val="000000"/>
                <w:szCs w:val="20"/>
              </w:rPr>
              <w:t>3</w:t>
            </w:r>
          </w:p>
        </w:tc>
      </w:tr>
      <w:tr w:rsidR="009F03AF" w:rsidRPr="000F30DC" w:rsidTr="0050700F">
        <w:trPr>
          <w:cantSplit/>
          <w:trHeight w:val="270"/>
          <w:jc w:val="center"/>
        </w:trPr>
        <w:tc>
          <w:tcPr>
            <w:tcW w:w="3165" w:type="dxa"/>
            <w:tcBorders>
              <w:top w:val="nil"/>
              <w:left w:val="nil"/>
              <w:bottom w:val="single" w:sz="8" w:space="0" w:color="DDD9C3"/>
              <w:right w:val="nil"/>
            </w:tcBorders>
            <w:shd w:val="clear" w:color="000000" w:fill="DDD9C3"/>
            <w:vAlign w:val="center"/>
            <w:hideMark/>
          </w:tcPr>
          <w:p w:rsidR="009F03AF" w:rsidRPr="000F30DC" w:rsidRDefault="009F03AF" w:rsidP="0050700F">
            <w:pPr>
              <w:keepNext/>
              <w:keepLines/>
              <w:spacing w:before="40" w:after="40"/>
              <w:rPr>
                <w:rFonts w:ascii="Arial Narrow" w:hAnsi="Arial Narrow"/>
                <w:color w:val="000000"/>
                <w:szCs w:val="20"/>
              </w:rPr>
            </w:pPr>
            <w:r w:rsidRPr="000F30DC">
              <w:rPr>
                <w:rFonts w:ascii="Arial Narrow" w:hAnsi="Arial Narrow"/>
                <w:noProof/>
                <w:color w:val="000000"/>
                <w:szCs w:val="20"/>
              </w:rPr>
              <w:t>Residential Water Heaters</w:t>
            </w:r>
          </w:p>
        </w:tc>
        <w:tc>
          <w:tcPr>
            <w:tcW w:w="2520" w:type="dxa"/>
            <w:tcBorders>
              <w:top w:val="nil"/>
              <w:left w:val="nil"/>
              <w:bottom w:val="single" w:sz="8" w:space="0" w:color="DDD9C3"/>
              <w:right w:val="nil"/>
            </w:tcBorders>
            <w:shd w:val="clear" w:color="000000" w:fill="DDD9C3"/>
            <w:vAlign w:val="center"/>
            <w:hideMark/>
          </w:tcPr>
          <w:p w:rsidR="009F03AF" w:rsidRPr="000F30DC" w:rsidRDefault="009F03AF" w:rsidP="0050700F">
            <w:pPr>
              <w:keepNext/>
              <w:keepLines/>
              <w:spacing w:before="40" w:after="40"/>
              <w:jc w:val="center"/>
              <w:rPr>
                <w:rFonts w:ascii="Arial Narrow" w:hAnsi="Arial Narrow"/>
                <w:color w:val="000000"/>
                <w:szCs w:val="20"/>
              </w:rPr>
            </w:pPr>
            <w:r w:rsidRPr="000F30DC">
              <w:rPr>
                <w:rFonts w:ascii="Arial Narrow" w:hAnsi="Arial Narrow"/>
                <w:noProof/>
                <w:color w:val="000000"/>
                <w:szCs w:val="20"/>
              </w:rPr>
              <w:t>21.2</w:t>
            </w:r>
          </w:p>
        </w:tc>
        <w:tc>
          <w:tcPr>
            <w:tcW w:w="2250" w:type="dxa"/>
            <w:tcBorders>
              <w:top w:val="nil"/>
              <w:left w:val="nil"/>
              <w:bottom w:val="single" w:sz="8" w:space="0" w:color="DDD9C3"/>
              <w:right w:val="nil"/>
            </w:tcBorders>
            <w:shd w:val="clear" w:color="000000" w:fill="DDD9C3"/>
            <w:vAlign w:val="center"/>
            <w:hideMark/>
          </w:tcPr>
          <w:p w:rsidR="009F03AF" w:rsidRPr="000F30DC" w:rsidRDefault="009F03AF" w:rsidP="0050700F">
            <w:pPr>
              <w:keepNext/>
              <w:keepLines/>
              <w:spacing w:before="40" w:after="40"/>
              <w:jc w:val="center"/>
              <w:rPr>
                <w:rFonts w:ascii="Arial Narrow" w:hAnsi="Arial Narrow"/>
                <w:color w:val="000000"/>
                <w:szCs w:val="20"/>
              </w:rPr>
            </w:pPr>
            <w:r w:rsidRPr="000F30DC">
              <w:rPr>
                <w:rFonts w:ascii="Arial Narrow" w:hAnsi="Arial Narrow"/>
                <w:noProof/>
                <w:color w:val="000000"/>
                <w:szCs w:val="20"/>
              </w:rPr>
              <w:t>9.7</w:t>
            </w:r>
          </w:p>
        </w:tc>
      </w:tr>
      <w:tr w:rsidR="009F03AF" w:rsidRPr="000F30DC" w:rsidTr="0050700F">
        <w:trPr>
          <w:cantSplit/>
          <w:trHeight w:val="270"/>
          <w:jc w:val="center"/>
        </w:trPr>
        <w:tc>
          <w:tcPr>
            <w:tcW w:w="3165" w:type="dxa"/>
            <w:tcBorders>
              <w:top w:val="nil"/>
              <w:left w:val="nil"/>
              <w:bottom w:val="single" w:sz="8" w:space="0" w:color="DDD9C3"/>
              <w:right w:val="nil"/>
            </w:tcBorders>
            <w:shd w:val="clear" w:color="auto" w:fill="auto"/>
            <w:vAlign w:val="center"/>
            <w:hideMark/>
          </w:tcPr>
          <w:p w:rsidR="009F03AF" w:rsidRPr="000F30DC" w:rsidRDefault="009F03AF" w:rsidP="0050700F">
            <w:pPr>
              <w:keepNext/>
              <w:keepLines/>
              <w:spacing w:before="40" w:after="40"/>
              <w:rPr>
                <w:rFonts w:ascii="Arial Narrow" w:hAnsi="Arial Narrow"/>
                <w:color w:val="000000"/>
                <w:szCs w:val="20"/>
              </w:rPr>
            </w:pPr>
            <w:r w:rsidRPr="000F30DC">
              <w:rPr>
                <w:rFonts w:ascii="Arial Narrow" w:hAnsi="Arial Narrow"/>
                <w:noProof/>
                <w:color w:val="000000"/>
                <w:szCs w:val="20"/>
              </w:rPr>
              <w:t>Ceiling Fan Lighting Kits</w:t>
            </w:r>
          </w:p>
        </w:tc>
        <w:tc>
          <w:tcPr>
            <w:tcW w:w="2520" w:type="dxa"/>
            <w:tcBorders>
              <w:top w:val="nil"/>
              <w:left w:val="nil"/>
              <w:bottom w:val="single" w:sz="8" w:space="0" w:color="DDD9C3"/>
              <w:right w:val="nil"/>
            </w:tcBorders>
            <w:shd w:val="clear" w:color="auto" w:fill="auto"/>
            <w:vAlign w:val="center"/>
            <w:hideMark/>
          </w:tcPr>
          <w:p w:rsidR="009F03AF" w:rsidRPr="000F30DC" w:rsidRDefault="009F03AF" w:rsidP="0050700F">
            <w:pPr>
              <w:keepNext/>
              <w:keepLines/>
              <w:spacing w:before="40" w:after="40"/>
              <w:jc w:val="center"/>
              <w:rPr>
                <w:rFonts w:ascii="Arial Narrow" w:hAnsi="Arial Narrow"/>
                <w:color w:val="000000"/>
                <w:szCs w:val="20"/>
              </w:rPr>
            </w:pPr>
            <w:r w:rsidRPr="000F30DC">
              <w:rPr>
                <w:rFonts w:ascii="Arial Narrow" w:hAnsi="Arial Narrow"/>
                <w:noProof/>
                <w:color w:val="000000"/>
                <w:szCs w:val="20"/>
              </w:rPr>
              <w:t>0</w:t>
            </w:r>
          </w:p>
        </w:tc>
        <w:tc>
          <w:tcPr>
            <w:tcW w:w="2250" w:type="dxa"/>
            <w:tcBorders>
              <w:top w:val="nil"/>
              <w:left w:val="nil"/>
              <w:bottom w:val="single" w:sz="8" w:space="0" w:color="DDD9C3"/>
              <w:right w:val="nil"/>
            </w:tcBorders>
            <w:shd w:val="clear" w:color="auto" w:fill="auto"/>
            <w:vAlign w:val="center"/>
            <w:hideMark/>
          </w:tcPr>
          <w:p w:rsidR="009F03AF" w:rsidRPr="000F30DC" w:rsidRDefault="009F03AF" w:rsidP="0050700F">
            <w:pPr>
              <w:keepNext/>
              <w:keepLines/>
              <w:spacing w:before="40" w:after="40"/>
              <w:jc w:val="center"/>
              <w:rPr>
                <w:rFonts w:ascii="Arial Narrow" w:hAnsi="Arial Narrow"/>
                <w:color w:val="000000"/>
                <w:szCs w:val="20"/>
              </w:rPr>
            </w:pPr>
            <w:r w:rsidRPr="000F30DC">
              <w:rPr>
                <w:rFonts w:ascii="Arial Narrow" w:hAnsi="Arial Narrow"/>
                <w:noProof/>
                <w:color w:val="000000"/>
                <w:szCs w:val="20"/>
              </w:rPr>
              <w:t>0</w:t>
            </w:r>
          </w:p>
        </w:tc>
      </w:tr>
      <w:tr w:rsidR="009F03AF" w:rsidRPr="000F30DC" w:rsidTr="0050700F">
        <w:trPr>
          <w:cantSplit/>
          <w:trHeight w:val="270"/>
          <w:jc w:val="center"/>
        </w:trPr>
        <w:tc>
          <w:tcPr>
            <w:tcW w:w="3165" w:type="dxa"/>
            <w:tcBorders>
              <w:top w:val="nil"/>
              <w:left w:val="nil"/>
              <w:bottom w:val="single" w:sz="8" w:space="0" w:color="DDD9C3"/>
              <w:right w:val="nil"/>
            </w:tcBorders>
            <w:shd w:val="clear" w:color="000000" w:fill="DDD9C3"/>
            <w:vAlign w:val="center"/>
            <w:hideMark/>
          </w:tcPr>
          <w:p w:rsidR="009F03AF" w:rsidRPr="000F30DC" w:rsidRDefault="009F03AF" w:rsidP="0050700F">
            <w:pPr>
              <w:keepNext/>
              <w:keepLines/>
              <w:spacing w:before="40" w:after="40"/>
              <w:rPr>
                <w:rFonts w:ascii="Arial Narrow" w:hAnsi="Arial Narrow"/>
                <w:color w:val="000000"/>
                <w:szCs w:val="20"/>
              </w:rPr>
            </w:pPr>
            <w:r w:rsidRPr="000F30DC">
              <w:rPr>
                <w:rFonts w:ascii="Arial Narrow" w:hAnsi="Arial Narrow"/>
                <w:noProof/>
                <w:color w:val="000000"/>
                <w:szCs w:val="20"/>
              </w:rPr>
              <w:t>Torchiers</w:t>
            </w:r>
          </w:p>
        </w:tc>
        <w:tc>
          <w:tcPr>
            <w:tcW w:w="2520" w:type="dxa"/>
            <w:tcBorders>
              <w:top w:val="nil"/>
              <w:left w:val="nil"/>
              <w:bottom w:val="single" w:sz="8" w:space="0" w:color="DDD9C3"/>
              <w:right w:val="nil"/>
            </w:tcBorders>
            <w:shd w:val="clear" w:color="000000" w:fill="DDD9C3"/>
            <w:vAlign w:val="center"/>
            <w:hideMark/>
          </w:tcPr>
          <w:p w:rsidR="009F03AF" w:rsidRPr="000F30DC" w:rsidRDefault="009F03AF" w:rsidP="0050700F">
            <w:pPr>
              <w:keepNext/>
              <w:keepLines/>
              <w:spacing w:before="40" w:after="40"/>
              <w:jc w:val="center"/>
              <w:rPr>
                <w:rFonts w:ascii="Arial Narrow" w:hAnsi="Arial Narrow"/>
                <w:color w:val="000000"/>
                <w:szCs w:val="20"/>
              </w:rPr>
            </w:pPr>
            <w:r w:rsidRPr="000F30DC">
              <w:rPr>
                <w:rFonts w:ascii="Arial Narrow" w:hAnsi="Arial Narrow"/>
                <w:noProof/>
                <w:color w:val="000000"/>
                <w:szCs w:val="20"/>
              </w:rPr>
              <w:t>0</w:t>
            </w:r>
          </w:p>
        </w:tc>
        <w:tc>
          <w:tcPr>
            <w:tcW w:w="2250" w:type="dxa"/>
            <w:tcBorders>
              <w:top w:val="nil"/>
              <w:left w:val="nil"/>
              <w:bottom w:val="single" w:sz="8" w:space="0" w:color="DDD9C3"/>
              <w:right w:val="nil"/>
            </w:tcBorders>
            <w:shd w:val="clear" w:color="000000" w:fill="DDD9C3"/>
            <w:vAlign w:val="center"/>
            <w:hideMark/>
          </w:tcPr>
          <w:p w:rsidR="009F03AF" w:rsidRPr="000F30DC" w:rsidRDefault="009F03AF" w:rsidP="0050700F">
            <w:pPr>
              <w:keepNext/>
              <w:keepLines/>
              <w:spacing w:before="40" w:after="40"/>
              <w:jc w:val="center"/>
              <w:rPr>
                <w:rFonts w:ascii="Arial Narrow" w:hAnsi="Arial Narrow"/>
                <w:color w:val="000000"/>
                <w:szCs w:val="20"/>
              </w:rPr>
            </w:pPr>
            <w:r w:rsidRPr="000F30DC">
              <w:rPr>
                <w:rFonts w:ascii="Arial Narrow" w:hAnsi="Arial Narrow"/>
                <w:noProof/>
                <w:color w:val="000000"/>
                <w:szCs w:val="20"/>
              </w:rPr>
              <w:t>0</w:t>
            </w:r>
          </w:p>
        </w:tc>
      </w:tr>
      <w:tr w:rsidR="009F03AF" w:rsidRPr="000F30DC" w:rsidTr="0050700F">
        <w:trPr>
          <w:cantSplit/>
          <w:trHeight w:val="270"/>
          <w:jc w:val="center"/>
        </w:trPr>
        <w:tc>
          <w:tcPr>
            <w:tcW w:w="3165" w:type="dxa"/>
            <w:tcBorders>
              <w:top w:val="nil"/>
              <w:left w:val="nil"/>
              <w:bottom w:val="double" w:sz="4" w:space="0" w:color="92876D"/>
              <w:right w:val="nil"/>
            </w:tcBorders>
            <w:shd w:val="clear" w:color="auto" w:fill="auto"/>
            <w:vAlign w:val="center"/>
            <w:hideMark/>
          </w:tcPr>
          <w:p w:rsidR="009F03AF" w:rsidRPr="000F30DC" w:rsidRDefault="009F03AF" w:rsidP="0050700F">
            <w:pPr>
              <w:keepNext/>
              <w:keepLines/>
              <w:spacing w:before="40" w:after="40"/>
              <w:rPr>
                <w:rFonts w:ascii="Arial Narrow" w:hAnsi="Arial Narrow"/>
                <w:color w:val="000000"/>
                <w:szCs w:val="20"/>
              </w:rPr>
            </w:pPr>
            <w:r w:rsidRPr="000F30DC">
              <w:rPr>
                <w:rFonts w:ascii="Arial Narrow" w:hAnsi="Arial Narrow"/>
                <w:noProof/>
                <w:color w:val="000000"/>
                <w:szCs w:val="20"/>
              </w:rPr>
              <w:t>Residential Heat Pumps</w:t>
            </w:r>
          </w:p>
        </w:tc>
        <w:tc>
          <w:tcPr>
            <w:tcW w:w="2520" w:type="dxa"/>
            <w:tcBorders>
              <w:top w:val="nil"/>
              <w:left w:val="nil"/>
              <w:bottom w:val="double" w:sz="4" w:space="0" w:color="92876D"/>
              <w:right w:val="nil"/>
            </w:tcBorders>
            <w:shd w:val="clear" w:color="auto" w:fill="auto"/>
            <w:vAlign w:val="center"/>
            <w:hideMark/>
          </w:tcPr>
          <w:p w:rsidR="009F03AF" w:rsidRPr="000F30DC" w:rsidRDefault="009F03AF" w:rsidP="0050700F">
            <w:pPr>
              <w:keepNext/>
              <w:keepLines/>
              <w:spacing w:before="40" w:after="40"/>
              <w:jc w:val="center"/>
              <w:rPr>
                <w:rFonts w:ascii="Arial Narrow" w:hAnsi="Arial Narrow"/>
                <w:color w:val="000000"/>
                <w:szCs w:val="20"/>
              </w:rPr>
            </w:pPr>
            <w:r w:rsidRPr="000F30DC">
              <w:rPr>
                <w:rFonts w:ascii="Arial Narrow" w:hAnsi="Arial Narrow"/>
                <w:noProof/>
                <w:color w:val="000000"/>
                <w:szCs w:val="20"/>
              </w:rPr>
              <w:t>4.1</w:t>
            </w:r>
          </w:p>
        </w:tc>
        <w:tc>
          <w:tcPr>
            <w:tcW w:w="2250" w:type="dxa"/>
            <w:tcBorders>
              <w:top w:val="nil"/>
              <w:left w:val="nil"/>
              <w:bottom w:val="double" w:sz="4" w:space="0" w:color="92876D"/>
              <w:right w:val="nil"/>
            </w:tcBorders>
            <w:shd w:val="clear" w:color="auto" w:fill="auto"/>
            <w:vAlign w:val="center"/>
            <w:hideMark/>
          </w:tcPr>
          <w:p w:rsidR="009F03AF" w:rsidRPr="000F30DC" w:rsidRDefault="009F03AF" w:rsidP="0050700F">
            <w:pPr>
              <w:keepNext/>
              <w:keepLines/>
              <w:spacing w:before="40" w:after="40"/>
              <w:jc w:val="center"/>
              <w:rPr>
                <w:rFonts w:ascii="Arial Narrow" w:hAnsi="Arial Narrow"/>
                <w:color w:val="000000"/>
                <w:szCs w:val="20"/>
              </w:rPr>
            </w:pPr>
            <w:r w:rsidRPr="000F30DC">
              <w:rPr>
                <w:rFonts w:ascii="Arial Narrow" w:hAnsi="Arial Narrow"/>
                <w:noProof/>
                <w:color w:val="000000"/>
                <w:szCs w:val="20"/>
              </w:rPr>
              <w:t>1.9</w:t>
            </w:r>
          </w:p>
        </w:tc>
      </w:tr>
      <w:tr w:rsidR="009F03AF" w:rsidRPr="000F30DC" w:rsidTr="0050700F">
        <w:trPr>
          <w:cantSplit/>
          <w:trHeight w:val="196"/>
          <w:jc w:val="center"/>
        </w:trPr>
        <w:tc>
          <w:tcPr>
            <w:tcW w:w="3165" w:type="dxa"/>
            <w:tcBorders>
              <w:top w:val="double" w:sz="4" w:space="0" w:color="92876D"/>
              <w:left w:val="nil"/>
              <w:bottom w:val="single" w:sz="8" w:space="0" w:color="92876D"/>
              <w:right w:val="nil"/>
            </w:tcBorders>
            <w:shd w:val="clear" w:color="000000" w:fill="DDD9C3"/>
            <w:vAlign w:val="center"/>
            <w:hideMark/>
          </w:tcPr>
          <w:p w:rsidR="009F03AF" w:rsidRPr="000F30DC" w:rsidRDefault="009F03AF" w:rsidP="0050700F">
            <w:pPr>
              <w:spacing w:before="40" w:after="40"/>
              <w:jc w:val="center"/>
              <w:rPr>
                <w:rFonts w:ascii="Arial Narrow" w:hAnsi="Arial Narrow"/>
                <w:b/>
                <w:color w:val="000000"/>
                <w:szCs w:val="20"/>
              </w:rPr>
            </w:pPr>
            <w:r w:rsidRPr="000F30DC">
              <w:rPr>
                <w:rFonts w:ascii="Arial Narrow" w:hAnsi="Arial Narrow"/>
                <w:b/>
                <w:noProof/>
                <w:color w:val="000000"/>
                <w:szCs w:val="20"/>
              </w:rPr>
              <w:t>Total Residential Sector Adjustments</w:t>
            </w:r>
          </w:p>
        </w:tc>
        <w:tc>
          <w:tcPr>
            <w:tcW w:w="2520" w:type="dxa"/>
            <w:tcBorders>
              <w:top w:val="double" w:sz="4" w:space="0" w:color="92876D"/>
              <w:left w:val="nil"/>
              <w:bottom w:val="single" w:sz="8" w:space="0" w:color="92876D"/>
              <w:right w:val="nil"/>
            </w:tcBorders>
            <w:shd w:val="clear" w:color="000000" w:fill="DDD9C3"/>
            <w:vAlign w:val="center"/>
            <w:hideMark/>
          </w:tcPr>
          <w:p w:rsidR="009F03AF" w:rsidRPr="000F30DC" w:rsidRDefault="009F03AF" w:rsidP="0050700F">
            <w:pPr>
              <w:spacing w:before="40" w:after="40"/>
              <w:jc w:val="center"/>
              <w:rPr>
                <w:rFonts w:ascii="Arial Narrow" w:hAnsi="Arial Narrow"/>
                <w:b/>
                <w:color w:val="000000"/>
                <w:szCs w:val="20"/>
              </w:rPr>
            </w:pPr>
            <w:r w:rsidRPr="000F30DC">
              <w:rPr>
                <w:rFonts w:ascii="Arial Narrow" w:hAnsi="Arial Narrow"/>
                <w:b/>
                <w:noProof/>
                <w:color w:val="000000"/>
                <w:szCs w:val="20"/>
              </w:rPr>
              <w:t>38</w:t>
            </w:r>
          </w:p>
        </w:tc>
        <w:tc>
          <w:tcPr>
            <w:tcW w:w="2250" w:type="dxa"/>
            <w:tcBorders>
              <w:top w:val="double" w:sz="4" w:space="0" w:color="92876D"/>
              <w:left w:val="nil"/>
              <w:bottom w:val="single" w:sz="8" w:space="0" w:color="92876D"/>
              <w:right w:val="nil"/>
            </w:tcBorders>
            <w:shd w:val="clear" w:color="000000" w:fill="DDD9C3"/>
            <w:vAlign w:val="center"/>
            <w:hideMark/>
          </w:tcPr>
          <w:p w:rsidR="009F03AF" w:rsidRPr="000F30DC" w:rsidRDefault="009F03AF" w:rsidP="0050700F">
            <w:pPr>
              <w:spacing w:before="40" w:after="40"/>
              <w:jc w:val="center"/>
              <w:rPr>
                <w:rFonts w:ascii="Arial Narrow" w:hAnsi="Arial Narrow"/>
                <w:b/>
                <w:color w:val="000000"/>
                <w:szCs w:val="20"/>
              </w:rPr>
            </w:pPr>
            <w:r w:rsidRPr="000F30DC">
              <w:rPr>
                <w:rFonts w:ascii="Arial Narrow" w:hAnsi="Arial Narrow"/>
                <w:b/>
                <w:noProof/>
                <w:color w:val="000000"/>
                <w:szCs w:val="20"/>
              </w:rPr>
              <w:t>17.4</w:t>
            </w:r>
          </w:p>
        </w:tc>
      </w:tr>
    </w:tbl>
    <w:p w:rsidR="009F03AF" w:rsidRDefault="009F03AF" w:rsidP="009F03AF">
      <w:pPr>
        <w:pStyle w:val="Caption"/>
      </w:pPr>
      <w:bookmarkStart w:id="14" w:name="_Toc387936483"/>
    </w:p>
    <w:p w:rsidR="009F03AF" w:rsidRDefault="00090EBA" w:rsidP="009F03AF">
      <w:pPr>
        <w:pStyle w:val="Caption"/>
      </w:pPr>
      <w:r>
        <w:t>Table 6</w:t>
      </w:r>
      <w:r w:rsidR="009F03AF">
        <w:rPr>
          <w:noProof/>
        </w:rPr>
        <w:t>.</w:t>
      </w:r>
      <w:r w:rsidR="009F03AF" w:rsidRPr="00CE2D3C">
        <w:t xml:space="preserve"> </w:t>
      </w:r>
      <w:r w:rsidR="009F03AF">
        <w:t xml:space="preserve">Commercial Products’ </w:t>
      </w:r>
      <w:r w:rsidR="00FB24C9">
        <w:t xml:space="preserve">one- time </w:t>
      </w:r>
      <w:r w:rsidR="009F03AF">
        <w:t xml:space="preserve">Baseline Adjustments </w:t>
      </w:r>
      <w:bookmarkEnd w:id="14"/>
    </w:p>
    <w:tbl>
      <w:tblPr>
        <w:tblW w:w="8115" w:type="dxa"/>
        <w:jc w:val="center"/>
        <w:tblLook w:val="04E0" w:firstRow="1" w:lastRow="1" w:firstColumn="1" w:lastColumn="0" w:noHBand="0" w:noVBand="1"/>
      </w:tblPr>
      <w:tblGrid>
        <w:gridCol w:w="3255"/>
        <w:gridCol w:w="2520"/>
        <w:gridCol w:w="2340"/>
      </w:tblGrid>
      <w:tr w:rsidR="009F03AF" w:rsidRPr="000F30DC" w:rsidTr="0050700F">
        <w:trPr>
          <w:trHeight w:val="576"/>
          <w:jc w:val="center"/>
        </w:trPr>
        <w:tc>
          <w:tcPr>
            <w:tcW w:w="3255" w:type="dxa"/>
            <w:tcBorders>
              <w:top w:val="single" w:sz="8" w:space="0" w:color="DDD9C3"/>
              <w:left w:val="nil"/>
              <w:bottom w:val="single" w:sz="8" w:space="0" w:color="C5A41C"/>
              <w:right w:val="nil"/>
            </w:tcBorders>
            <w:shd w:val="clear" w:color="000000" w:fill="92876D"/>
            <w:vAlign w:val="center"/>
            <w:hideMark/>
          </w:tcPr>
          <w:p w:rsidR="009F03AF" w:rsidRPr="000F30DC" w:rsidRDefault="009F03AF" w:rsidP="0050700F">
            <w:pPr>
              <w:keepNext/>
              <w:keepLines/>
              <w:spacing w:before="40" w:after="40"/>
              <w:jc w:val="center"/>
              <w:rPr>
                <w:rFonts w:ascii="Arial Narrow" w:hAnsi="Arial Narrow"/>
                <w:b/>
                <w:bCs/>
                <w:color w:val="FFFFFF"/>
                <w:szCs w:val="20"/>
              </w:rPr>
            </w:pPr>
            <w:r w:rsidRPr="000F30DC">
              <w:rPr>
                <w:rFonts w:ascii="Arial Narrow" w:hAnsi="Arial Narrow"/>
                <w:b/>
                <w:bCs/>
                <w:noProof/>
                <w:color w:val="FFFFFF" w:themeColor="background1"/>
                <w:szCs w:val="20"/>
              </w:rPr>
              <w:t>Product</w:t>
            </w:r>
          </w:p>
        </w:tc>
        <w:tc>
          <w:tcPr>
            <w:tcW w:w="2520" w:type="dxa"/>
            <w:tcBorders>
              <w:top w:val="single" w:sz="8" w:space="0" w:color="DDD9C3"/>
              <w:left w:val="nil"/>
              <w:bottom w:val="single" w:sz="8" w:space="0" w:color="C5A41C"/>
              <w:right w:val="nil"/>
            </w:tcBorders>
            <w:shd w:val="clear" w:color="000000" w:fill="92876D"/>
            <w:vAlign w:val="center"/>
            <w:hideMark/>
          </w:tcPr>
          <w:p w:rsidR="009F03AF" w:rsidRPr="000F30DC" w:rsidRDefault="009F03AF" w:rsidP="0050700F">
            <w:pPr>
              <w:keepNext/>
              <w:keepLines/>
              <w:spacing w:before="40" w:after="40"/>
              <w:jc w:val="center"/>
              <w:rPr>
                <w:rFonts w:ascii="Arial Narrow" w:hAnsi="Arial Narrow"/>
                <w:b/>
                <w:bCs/>
                <w:color w:val="FFFFFF"/>
                <w:szCs w:val="20"/>
              </w:rPr>
            </w:pPr>
            <w:r w:rsidRPr="000F30DC">
              <w:rPr>
                <w:rFonts w:ascii="Arial Narrow" w:hAnsi="Arial Narrow"/>
                <w:b/>
                <w:bCs/>
                <w:noProof/>
                <w:color w:val="FFFFFF" w:themeColor="background1"/>
                <w:szCs w:val="20"/>
              </w:rPr>
              <w:t>Regional Sixth Plan Baseline Adjustments (aMW)</w:t>
            </w:r>
          </w:p>
        </w:tc>
        <w:tc>
          <w:tcPr>
            <w:tcW w:w="2340" w:type="dxa"/>
            <w:tcBorders>
              <w:top w:val="single" w:sz="8" w:space="0" w:color="DDD9C3"/>
              <w:left w:val="nil"/>
              <w:bottom w:val="single" w:sz="8" w:space="0" w:color="C5A41C"/>
              <w:right w:val="nil"/>
            </w:tcBorders>
            <w:shd w:val="clear" w:color="000000" w:fill="92876D"/>
            <w:vAlign w:val="center"/>
            <w:hideMark/>
          </w:tcPr>
          <w:p w:rsidR="009F03AF" w:rsidRPr="000F30DC" w:rsidRDefault="009F03AF" w:rsidP="0050700F">
            <w:pPr>
              <w:keepNext/>
              <w:keepLines/>
              <w:spacing w:before="40" w:after="40"/>
              <w:jc w:val="center"/>
              <w:rPr>
                <w:rFonts w:ascii="Arial Narrow" w:hAnsi="Arial Narrow"/>
                <w:b/>
                <w:bCs/>
                <w:color w:val="FFFFFF"/>
                <w:szCs w:val="20"/>
              </w:rPr>
            </w:pPr>
            <w:r w:rsidRPr="000F30DC">
              <w:rPr>
                <w:rFonts w:ascii="Arial Narrow" w:hAnsi="Arial Narrow"/>
                <w:b/>
                <w:bCs/>
                <w:noProof/>
                <w:color w:val="FFFFFF" w:themeColor="background1"/>
                <w:szCs w:val="20"/>
              </w:rPr>
              <w:t>BPA Sixth Plan Baseline Adjustments (aMW)</w:t>
            </w:r>
          </w:p>
        </w:tc>
      </w:tr>
      <w:tr w:rsidR="009F03AF" w:rsidRPr="000F30DC" w:rsidTr="0050700F">
        <w:trPr>
          <w:cantSplit/>
          <w:trHeight w:val="270"/>
          <w:jc w:val="center"/>
        </w:trPr>
        <w:tc>
          <w:tcPr>
            <w:tcW w:w="3255" w:type="dxa"/>
            <w:tcBorders>
              <w:top w:val="nil"/>
              <w:left w:val="nil"/>
              <w:bottom w:val="single" w:sz="8" w:space="0" w:color="DDD9C3"/>
              <w:right w:val="nil"/>
            </w:tcBorders>
            <w:shd w:val="clear" w:color="auto" w:fill="auto"/>
            <w:vAlign w:val="center"/>
            <w:hideMark/>
          </w:tcPr>
          <w:p w:rsidR="009F03AF" w:rsidRPr="000F30DC" w:rsidRDefault="009F03AF" w:rsidP="0050700F">
            <w:pPr>
              <w:keepNext/>
              <w:keepLines/>
              <w:spacing w:before="40" w:after="40"/>
              <w:rPr>
                <w:rFonts w:ascii="Arial Narrow" w:hAnsi="Arial Narrow"/>
                <w:noProof/>
              </w:rPr>
            </w:pPr>
            <w:r w:rsidRPr="000F30DC">
              <w:rPr>
                <w:rFonts w:ascii="Arial Narrow" w:hAnsi="Arial Narrow"/>
                <w:noProof/>
              </w:rPr>
              <w:t>Commercial Clothes Washers</w:t>
            </w:r>
          </w:p>
        </w:tc>
        <w:tc>
          <w:tcPr>
            <w:tcW w:w="2520" w:type="dxa"/>
            <w:tcBorders>
              <w:top w:val="nil"/>
              <w:left w:val="nil"/>
              <w:bottom w:val="single" w:sz="8" w:space="0" w:color="DDD9C3"/>
              <w:right w:val="nil"/>
            </w:tcBorders>
            <w:shd w:val="clear" w:color="auto" w:fill="auto"/>
            <w:vAlign w:val="center"/>
            <w:hideMark/>
          </w:tcPr>
          <w:p w:rsidR="009F03AF" w:rsidRPr="000F30DC" w:rsidRDefault="009F03AF" w:rsidP="0050700F">
            <w:pPr>
              <w:keepNext/>
              <w:keepLines/>
              <w:spacing w:before="40" w:after="40"/>
              <w:jc w:val="center"/>
              <w:rPr>
                <w:rFonts w:ascii="Arial Narrow" w:hAnsi="Arial Narrow"/>
                <w:noProof/>
              </w:rPr>
            </w:pPr>
            <w:r w:rsidRPr="000F30DC">
              <w:rPr>
                <w:rFonts w:ascii="Arial Narrow" w:hAnsi="Arial Narrow"/>
                <w:noProof/>
              </w:rPr>
              <w:t>0.0</w:t>
            </w:r>
          </w:p>
        </w:tc>
        <w:tc>
          <w:tcPr>
            <w:tcW w:w="2340" w:type="dxa"/>
            <w:tcBorders>
              <w:top w:val="nil"/>
              <w:left w:val="nil"/>
              <w:bottom w:val="single" w:sz="8" w:space="0" w:color="DDD9C3"/>
              <w:right w:val="nil"/>
            </w:tcBorders>
            <w:shd w:val="clear" w:color="auto" w:fill="auto"/>
            <w:vAlign w:val="center"/>
            <w:hideMark/>
          </w:tcPr>
          <w:p w:rsidR="009F03AF" w:rsidRPr="000F30DC" w:rsidRDefault="009F03AF" w:rsidP="0050700F">
            <w:pPr>
              <w:keepNext/>
              <w:keepLines/>
              <w:spacing w:before="40" w:after="40"/>
              <w:jc w:val="center"/>
              <w:rPr>
                <w:rFonts w:ascii="Arial Narrow" w:hAnsi="Arial Narrow"/>
                <w:noProof/>
              </w:rPr>
            </w:pPr>
            <w:r w:rsidRPr="000F30DC">
              <w:rPr>
                <w:rFonts w:ascii="Arial Narrow" w:hAnsi="Arial Narrow"/>
                <w:noProof/>
              </w:rPr>
              <w:t>0.0</w:t>
            </w:r>
          </w:p>
        </w:tc>
      </w:tr>
      <w:tr w:rsidR="009F03AF" w:rsidRPr="000F30DC" w:rsidTr="0050700F">
        <w:trPr>
          <w:cantSplit/>
          <w:trHeight w:val="270"/>
          <w:jc w:val="center"/>
        </w:trPr>
        <w:tc>
          <w:tcPr>
            <w:tcW w:w="3255" w:type="dxa"/>
            <w:tcBorders>
              <w:top w:val="nil"/>
              <w:left w:val="nil"/>
              <w:bottom w:val="single" w:sz="8" w:space="0" w:color="DDD9C3"/>
              <w:right w:val="nil"/>
            </w:tcBorders>
            <w:shd w:val="clear" w:color="000000" w:fill="DDD9C3"/>
            <w:vAlign w:val="center"/>
            <w:hideMark/>
          </w:tcPr>
          <w:p w:rsidR="009F03AF" w:rsidRPr="000F30DC" w:rsidRDefault="009F03AF" w:rsidP="0050700F">
            <w:pPr>
              <w:keepNext/>
              <w:keepLines/>
              <w:spacing w:before="40" w:after="40"/>
              <w:rPr>
                <w:rFonts w:ascii="Arial Narrow" w:hAnsi="Arial Narrow"/>
                <w:noProof/>
              </w:rPr>
            </w:pPr>
            <w:r w:rsidRPr="000F30DC">
              <w:rPr>
                <w:rFonts w:ascii="Arial Narrow" w:hAnsi="Arial Narrow"/>
                <w:noProof/>
              </w:rPr>
              <w:t>Illuminated Exit Signs</w:t>
            </w:r>
          </w:p>
        </w:tc>
        <w:tc>
          <w:tcPr>
            <w:tcW w:w="2520" w:type="dxa"/>
            <w:tcBorders>
              <w:top w:val="nil"/>
              <w:left w:val="nil"/>
              <w:bottom w:val="single" w:sz="8" w:space="0" w:color="DDD9C3"/>
              <w:right w:val="nil"/>
            </w:tcBorders>
            <w:shd w:val="clear" w:color="000000" w:fill="DDD9C3"/>
            <w:vAlign w:val="center"/>
            <w:hideMark/>
          </w:tcPr>
          <w:p w:rsidR="009F03AF" w:rsidRPr="000F30DC" w:rsidRDefault="009F03AF" w:rsidP="0050700F">
            <w:pPr>
              <w:keepNext/>
              <w:keepLines/>
              <w:spacing w:before="40" w:after="40"/>
              <w:jc w:val="center"/>
              <w:rPr>
                <w:rFonts w:ascii="Arial Narrow" w:hAnsi="Arial Narrow"/>
                <w:noProof/>
              </w:rPr>
            </w:pPr>
            <w:r w:rsidRPr="000F30DC">
              <w:rPr>
                <w:rFonts w:ascii="Arial Narrow" w:hAnsi="Arial Narrow"/>
                <w:noProof/>
              </w:rPr>
              <w:t>2.5</w:t>
            </w:r>
          </w:p>
        </w:tc>
        <w:tc>
          <w:tcPr>
            <w:tcW w:w="2340" w:type="dxa"/>
            <w:tcBorders>
              <w:top w:val="nil"/>
              <w:left w:val="nil"/>
              <w:bottom w:val="single" w:sz="8" w:space="0" w:color="DDD9C3"/>
              <w:right w:val="nil"/>
            </w:tcBorders>
            <w:shd w:val="clear" w:color="000000" w:fill="DDD9C3"/>
            <w:vAlign w:val="center"/>
            <w:hideMark/>
          </w:tcPr>
          <w:p w:rsidR="009F03AF" w:rsidRPr="000F30DC" w:rsidRDefault="009F03AF" w:rsidP="0050700F">
            <w:pPr>
              <w:keepNext/>
              <w:keepLines/>
              <w:spacing w:before="40" w:after="40"/>
              <w:jc w:val="center"/>
              <w:rPr>
                <w:rFonts w:ascii="Arial Narrow" w:hAnsi="Arial Narrow"/>
                <w:noProof/>
              </w:rPr>
            </w:pPr>
            <w:r w:rsidRPr="000F30DC">
              <w:rPr>
                <w:rFonts w:ascii="Arial Narrow" w:hAnsi="Arial Narrow"/>
                <w:noProof/>
              </w:rPr>
              <w:t>1.1</w:t>
            </w:r>
          </w:p>
        </w:tc>
      </w:tr>
      <w:tr w:rsidR="009F03AF" w:rsidRPr="000F30DC" w:rsidTr="0050700F">
        <w:trPr>
          <w:cantSplit/>
          <w:trHeight w:val="270"/>
          <w:jc w:val="center"/>
        </w:trPr>
        <w:tc>
          <w:tcPr>
            <w:tcW w:w="3255" w:type="dxa"/>
            <w:tcBorders>
              <w:top w:val="nil"/>
              <w:left w:val="nil"/>
              <w:bottom w:val="single" w:sz="8" w:space="0" w:color="DDD9C3"/>
              <w:right w:val="nil"/>
            </w:tcBorders>
            <w:shd w:val="clear" w:color="auto" w:fill="auto"/>
            <w:vAlign w:val="center"/>
            <w:hideMark/>
          </w:tcPr>
          <w:p w:rsidR="009F03AF" w:rsidRPr="000F30DC" w:rsidRDefault="009F03AF" w:rsidP="0050700F">
            <w:pPr>
              <w:keepNext/>
              <w:keepLines/>
              <w:spacing w:before="40" w:after="40"/>
              <w:rPr>
                <w:rFonts w:ascii="Arial Narrow" w:hAnsi="Arial Narrow"/>
                <w:noProof/>
              </w:rPr>
            </w:pPr>
            <w:r w:rsidRPr="000F30DC">
              <w:rPr>
                <w:rFonts w:ascii="Arial Narrow" w:hAnsi="Arial Narrow"/>
                <w:noProof/>
              </w:rPr>
              <w:t>Pre-Rinse Spray Valves</w:t>
            </w:r>
          </w:p>
        </w:tc>
        <w:tc>
          <w:tcPr>
            <w:tcW w:w="2520" w:type="dxa"/>
            <w:tcBorders>
              <w:top w:val="nil"/>
              <w:left w:val="nil"/>
              <w:bottom w:val="single" w:sz="8" w:space="0" w:color="DDD9C3"/>
              <w:right w:val="nil"/>
            </w:tcBorders>
            <w:shd w:val="clear" w:color="auto" w:fill="auto"/>
            <w:vAlign w:val="center"/>
            <w:hideMark/>
          </w:tcPr>
          <w:p w:rsidR="009F03AF" w:rsidRPr="000F30DC" w:rsidRDefault="009F03AF" w:rsidP="0050700F">
            <w:pPr>
              <w:keepNext/>
              <w:keepLines/>
              <w:spacing w:before="40" w:after="40"/>
              <w:jc w:val="center"/>
              <w:rPr>
                <w:rFonts w:ascii="Arial Narrow" w:hAnsi="Arial Narrow"/>
                <w:noProof/>
              </w:rPr>
            </w:pPr>
            <w:r w:rsidRPr="000F30DC">
              <w:rPr>
                <w:rFonts w:ascii="Arial Narrow" w:hAnsi="Arial Narrow"/>
                <w:noProof/>
              </w:rPr>
              <w:t>-0.1</w:t>
            </w:r>
          </w:p>
        </w:tc>
        <w:tc>
          <w:tcPr>
            <w:tcW w:w="2340" w:type="dxa"/>
            <w:tcBorders>
              <w:top w:val="nil"/>
              <w:left w:val="nil"/>
              <w:bottom w:val="single" w:sz="8" w:space="0" w:color="DDD9C3"/>
              <w:right w:val="nil"/>
            </w:tcBorders>
            <w:shd w:val="clear" w:color="auto" w:fill="auto"/>
            <w:vAlign w:val="center"/>
            <w:hideMark/>
          </w:tcPr>
          <w:p w:rsidR="009F03AF" w:rsidRPr="000F30DC" w:rsidRDefault="009F03AF" w:rsidP="0050700F">
            <w:pPr>
              <w:keepNext/>
              <w:keepLines/>
              <w:spacing w:before="40" w:after="40"/>
              <w:jc w:val="center"/>
              <w:rPr>
                <w:rFonts w:ascii="Arial Narrow" w:hAnsi="Arial Narrow"/>
                <w:noProof/>
              </w:rPr>
            </w:pPr>
            <w:r w:rsidRPr="000F30DC">
              <w:rPr>
                <w:rFonts w:ascii="Arial Narrow" w:hAnsi="Arial Narrow"/>
                <w:noProof/>
              </w:rPr>
              <w:t>0.0</w:t>
            </w:r>
          </w:p>
        </w:tc>
      </w:tr>
      <w:tr w:rsidR="009F03AF" w:rsidRPr="000F30DC" w:rsidTr="0050700F">
        <w:trPr>
          <w:cantSplit/>
          <w:trHeight w:val="270"/>
          <w:jc w:val="center"/>
        </w:trPr>
        <w:tc>
          <w:tcPr>
            <w:tcW w:w="3255" w:type="dxa"/>
            <w:tcBorders>
              <w:top w:val="nil"/>
              <w:left w:val="nil"/>
              <w:bottom w:val="single" w:sz="8" w:space="0" w:color="DDD9C3"/>
              <w:right w:val="nil"/>
            </w:tcBorders>
            <w:shd w:val="clear" w:color="000000" w:fill="DDD9C3"/>
            <w:vAlign w:val="center"/>
            <w:hideMark/>
          </w:tcPr>
          <w:p w:rsidR="009F03AF" w:rsidRPr="000F30DC" w:rsidRDefault="009F03AF" w:rsidP="0050700F">
            <w:pPr>
              <w:keepNext/>
              <w:keepLines/>
              <w:spacing w:before="40" w:after="40"/>
              <w:rPr>
                <w:rFonts w:ascii="Arial Narrow" w:hAnsi="Arial Narrow"/>
                <w:noProof/>
              </w:rPr>
            </w:pPr>
            <w:r w:rsidRPr="000F30DC">
              <w:rPr>
                <w:rFonts w:ascii="Arial Narrow" w:hAnsi="Arial Narrow"/>
                <w:noProof/>
              </w:rPr>
              <w:t>Commercial Refrigeration Equipments</w:t>
            </w:r>
          </w:p>
        </w:tc>
        <w:tc>
          <w:tcPr>
            <w:tcW w:w="2520" w:type="dxa"/>
            <w:tcBorders>
              <w:top w:val="nil"/>
              <w:left w:val="nil"/>
              <w:bottom w:val="single" w:sz="8" w:space="0" w:color="DDD9C3"/>
              <w:right w:val="nil"/>
            </w:tcBorders>
            <w:shd w:val="clear" w:color="000000" w:fill="DDD9C3"/>
            <w:vAlign w:val="center"/>
            <w:hideMark/>
          </w:tcPr>
          <w:p w:rsidR="009F03AF" w:rsidRPr="000F30DC" w:rsidRDefault="009F03AF" w:rsidP="0050700F">
            <w:pPr>
              <w:keepNext/>
              <w:keepLines/>
              <w:spacing w:before="40" w:after="40"/>
              <w:jc w:val="center"/>
              <w:rPr>
                <w:rFonts w:ascii="Arial Narrow" w:hAnsi="Arial Narrow"/>
                <w:noProof/>
              </w:rPr>
            </w:pPr>
            <w:r w:rsidRPr="000F30DC">
              <w:rPr>
                <w:rFonts w:ascii="Arial Narrow" w:hAnsi="Arial Narrow"/>
                <w:noProof/>
              </w:rPr>
              <w:t>0.2</w:t>
            </w:r>
          </w:p>
        </w:tc>
        <w:tc>
          <w:tcPr>
            <w:tcW w:w="2340" w:type="dxa"/>
            <w:tcBorders>
              <w:top w:val="nil"/>
              <w:left w:val="nil"/>
              <w:bottom w:val="single" w:sz="8" w:space="0" w:color="DDD9C3"/>
              <w:right w:val="nil"/>
            </w:tcBorders>
            <w:shd w:val="clear" w:color="000000" w:fill="DDD9C3"/>
            <w:vAlign w:val="center"/>
            <w:hideMark/>
          </w:tcPr>
          <w:p w:rsidR="009F03AF" w:rsidRPr="000F30DC" w:rsidRDefault="009F03AF" w:rsidP="0050700F">
            <w:pPr>
              <w:keepNext/>
              <w:keepLines/>
              <w:spacing w:before="40" w:after="40"/>
              <w:jc w:val="center"/>
              <w:rPr>
                <w:rFonts w:ascii="Arial Narrow" w:hAnsi="Arial Narrow"/>
                <w:noProof/>
              </w:rPr>
            </w:pPr>
            <w:r w:rsidRPr="000F30DC">
              <w:rPr>
                <w:rFonts w:ascii="Arial Narrow" w:hAnsi="Arial Narrow"/>
                <w:noProof/>
              </w:rPr>
              <w:t>0.1</w:t>
            </w:r>
          </w:p>
        </w:tc>
      </w:tr>
      <w:tr w:rsidR="009F03AF" w:rsidRPr="000F30DC" w:rsidTr="0050700F">
        <w:trPr>
          <w:cantSplit/>
          <w:trHeight w:val="270"/>
          <w:jc w:val="center"/>
        </w:trPr>
        <w:tc>
          <w:tcPr>
            <w:tcW w:w="3255" w:type="dxa"/>
            <w:tcBorders>
              <w:top w:val="nil"/>
              <w:left w:val="nil"/>
              <w:bottom w:val="single" w:sz="8" w:space="0" w:color="DDD9C3"/>
              <w:right w:val="nil"/>
            </w:tcBorders>
            <w:shd w:val="clear" w:color="auto" w:fill="auto"/>
            <w:vAlign w:val="center"/>
            <w:hideMark/>
          </w:tcPr>
          <w:p w:rsidR="009F03AF" w:rsidRPr="000F30DC" w:rsidRDefault="009F03AF" w:rsidP="0050700F">
            <w:pPr>
              <w:keepNext/>
              <w:keepLines/>
              <w:spacing w:before="40" w:after="40"/>
              <w:rPr>
                <w:rFonts w:ascii="Arial Narrow" w:hAnsi="Arial Narrow"/>
                <w:noProof/>
              </w:rPr>
            </w:pPr>
            <w:r w:rsidRPr="000F30DC">
              <w:rPr>
                <w:rFonts w:ascii="Arial Narrow" w:hAnsi="Arial Narrow"/>
                <w:noProof/>
              </w:rPr>
              <w:t>Walk-</w:t>
            </w:r>
            <w:r>
              <w:rPr>
                <w:rFonts w:ascii="Arial Narrow" w:hAnsi="Arial Narrow"/>
                <w:noProof/>
              </w:rPr>
              <w:t>I</w:t>
            </w:r>
            <w:r w:rsidRPr="000F30DC">
              <w:rPr>
                <w:rFonts w:ascii="Arial Narrow" w:hAnsi="Arial Narrow"/>
                <w:noProof/>
              </w:rPr>
              <w:t>n Coolers and Freezers</w:t>
            </w:r>
          </w:p>
        </w:tc>
        <w:tc>
          <w:tcPr>
            <w:tcW w:w="2520" w:type="dxa"/>
            <w:tcBorders>
              <w:top w:val="nil"/>
              <w:left w:val="nil"/>
              <w:bottom w:val="single" w:sz="8" w:space="0" w:color="DDD9C3"/>
              <w:right w:val="nil"/>
            </w:tcBorders>
            <w:shd w:val="clear" w:color="auto" w:fill="auto"/>
            <w:vAlign w:val="center"/>
            <w:hideMark/>
          </w:tcPr>
          <w:p w:rsidR="009F03AF" w:rsidRPr="000F30DC" w:rsidRDefault="009F03AF" w:rsidP="0050700F">
            <w:pPr>
              <w:keepNext/>
              <w:keepLines/>
              <w:spacing w:before="40" w:after="40"/>
              <w:jc w:val="center"/>
              <w:rPr>
                <w:rFonts w:ascii="Arial Narrow" w:hAnsi="Arial Narrow"/>
                <w:noProof/>
              </w:rPr>
            </w:pPr>
            <w:r w:rsidRPr="000F30DC">
              <w:rPr>
                <w:rFonts w:ascii="Arial Narrow" w:hAnsi="Arial Narrow"/>
                <w:noProof/>
              </w:rPr>
              <w:t>0.0</w:t>
            </w:r>
          </w:p>
        </w:tc>
        <w:tc>
          <w:tcPr>
            <w:tcW w:w="2340" w:type="dxa"/>
            <w:tcBorders>
              <w:top w:val="nil"/>
              <w:left w:val="nil"/>
              <w:bottom w:val="single" w:sz="8" w:space="0" w:color="DDD9C3"/>
              <w:right w:val="nil"/>
            </w:tcBorders>
            <w:shd w:val="clear" w:color="auto" w:fill="auto"/>
            <w:vAlign w:val="center"/>
            <w:hideMark/>
          </w:tcPr>
          <w:p w:rsidR="009F03AF" w:rsidRPr="000F30DC" w:rsidRDefault="009F03AF" w:rsidP="0050700F">
            <w:pPr>
              <w:keepNext/>
              <w:keepLines/>
              <w:spacing w:before="40" w:after="40"/>
              <w:jc w:val="center"/>
              <w:rPr>
                <w:rFonts w:ascii="Arial Narrow" w:hAnsi="Arial Narrow"/>
                <w:noProof/>
              </w:rPr>
            </w:pPr>
            <w:r w:rsidRPr="000F30DC">
              <w:rPr>
                <w:rFonts w:ascii="Arial Narrow" w:hAnsi="Arial Narrow"/>
                <w:noProof/>
              </w:rPr>
              <w:t>0.0</w:t>
            </w:r>
          </w:p>
        </w:tc>
      </w:tr>
      <w:tr w:rsidR="009F03AF" w:rsidRPr="000F30DC" w:rsidTr="0050700F">
        <w:trPr>
          <w:cantSplit/>
          <w:trHeight w:val="270"/>
          <w:jc w:val="center"/>
        </w:trPr>
        <w:tc>
          <w:tcPr>
            <w:tcW w:w="3255" w:type="dxa"/>
            <w:tcBorders>
              <w:top w:val="nil"/>
              <w:left w:val="nil"/>
              <w:bottom w:val="single" w:sz="8" w:space="0" w:color="DDD9C3"/>
              <w:right w:val="nil"/>
            </w:tcBorders>
            <w:shd w:val="clear" w:color="000000" w:fill="DDD9C3"/>
            <w:vAlign w:val="center"/>
            <w:hideMark/>
          </w:tcPr>
          <w:p w:rsidR="009F03AF" w:rsidRPr="000F30DC" w:rsidRDefault="009F03AF" w:rsidP="0050700F">
            <w:pPr>
              <w:keepNext/>
              <w:keepLines/>
              <w:spacing w:before="40" w:after="40"/>
              <w:rPr>
                <w:rFonts w:ascii="Arial Narrow" w:hAnsi="Arial Narrow"/>
                <w:noProof/>
              </w:rPr>
            </w:pPr>
            <w:r w:rsidRPr="000F30DC">
              <w:rPr>
                <w:rFonts w:ascii="Arial Narrow" w:hAnsi="Arial Narrow"/>
                <w:noProof/>
              </w:rPr>
              <w:t>Electric Motors</w:t>
            </w:r>
          </w:p>
        </w:tc>
        <w:tc>
          <w:tcPr>
            <w:tcW w:w="2520" w:type="dxa"/>
            <w:tcBorders>
              <w:top w:val="nil"/>
              <w:left w:val="nil"/>
              <w:bottom w:val="single" w:sz="8" w:space="0" w:color="DDD9C3"/>
              <w:right w:val="nil"/>
            </w:tcBorders>
            <w:shd w:val="clear" w:color="000000" w:fill="DDD9C3"/>
            <w:vAlign w:val="center"/>
            <w:hideMark/>
          </w:tcPr>
          <w:p w:rsidR="009F03AF" w:rsidRPr="000F30DC" w:rsidRDefault="009F03AF" w:rsidP="0050700F">
            <w:pPr>
              <w:keepNext/>
              <w:keepLines/>
              <w:spacing w:before="40" w:after="40"/>
              <w:jc w:val="center"/>
              <w:rPr>
                <w:rFonts w:ascii="Arial Narrow" w:hAnsi="Arial Narrow"/>
                <w:noProof/>
              </w:rPr>
            </w:pPr>
            <w:r w:rsidRPr="000F30DC">
              <w:rPr>
                <w:rFonts w:ascii="Arial Narrow" w:hAnsi="Arial Narrow"/>
                <w:noProof/>
              </w:rPr>
              <w:t>0.0</w:t>
            </w:r>
          </w:p>
        </w:tc>
        <w:tc>
          <w:tcPr>
            <w:tcW w:w="2340" w:type="dxa"/>
            <w:tcBorders>
              <w:top w:val="nil"/>
              <w:left w:val="nil"/>
              <w:bottom w:val="single" w:sz="8" w:space="0" w:color="DDD9C3"/>
              <w:right w:val="nil"/>
            </w:tcBorders>
            <w:shd w:val="clear" w:color="000000" w:fill="DDD9C3"/>
            <w:vAlign w:val="center"/>
            <w:hideMark/>
          </w:tcPr>
          <w:p w:rsidR="009F03AF" w:rsidRPr="000F30DC" w:rsidRDefault="009F03AF" w:rsidP="0050700F">
            <w:pPr>
              <w:keepNext/>
              <w:keepLines/>
              <w:spacing w:before="40" w:after="40"/>
              <w:jc w:val="center"/>
              <w:rPr>
                <w:rFonts w:ascii="Arial Narrow" w:hAnsi="Arial Narrow"/>
                <w:noProof/>
              </w:rPr>
            </w:pPr>
            <w:r w:rsidRPr="000F30DC">
              <w:rPr>
                <w:rFonts w:ascii="Arial Narrow" w:hAnsi="Arial Narrow"/>
                <w:noProof/>
              </w:rPr>
              <w:t>0.0</w:t>
            </w:r>
          </w:p>
        </w:tc>
      </w:tr>
      <w:tr w:rsidR="009F03AF" w:rsidRPr="000F30DC" w:rsidTr="0050700F">
        <w:trPr>
          <w:cantSplit/>
          <w:trHeight w:val="270"/>
          <w:jc w:val="center"/>
        </w:trPr>
        <w:tc>
          <w:tcPr>
            <w:tcW w:w="3255" w:type="dxa"/>
            <w:tcBorders>
              <w:top w:val="nil"/>
              <w:left w:val="nil"/>
              <w:bottom w:val="single" w:sz="8" w:space="0" w:color="DDD9C3"/>
              <w:right w:val="nil"/>
            </w:tcBorders>
            <w:shd w:val="clear" w:color="auto" w:fill="auto"/>
            <w:vAlign w:val="center"/>
            <w:hideMark/>
          </w:tcPr>
          <w:p w:rsidR="009F03AF" w:rsidRPr="000F30DC" w:rsidRDefault="009F03AF" w:rsidP="0050700F">
            <w:pPr>
              <w:keepNext/>
              <w:keepLines/>
              <w:spacing w:before="40" w:after="40"/>
              <w:rPr>
                <w:rFonts w:ascii="Arial Narrow" w:hAnsi="Arial Narrow"/>
                <w:noProof/>
              </w:rPr>
            </w:pPr>
            <w:r w:rsidRPr="000F30DC">
              <w:rPr>
                <w:rFonts w:ascii="Arial Narrow" w:hAnsi="Arial Narrow"/>
                <w:noProof/>
              </w:rPr>
              <w:t>Distribution Transformers</w:t>
            </w:r>
          </w:p>
        </w:tc>
        <w:tc>
          <w:tcPr>
            <w:tcW w:w="2520" w:type="dxa"/>
            <w:tcBorders>
              <w:top w:val="nil"/>
              <w:left w:val="nil"/>
              <w:bottom w:val="single" w:sz="8" w:space="0" w:color="DDD9C3"/>
              <w:right w:val="nil"/>
            </w:tcBorders>
            <w:shd w:val="clear" w:color="auto" w:fill="auto"/>
            <w:vAlign w:val="center"/>
            <w:hideMark/>
          </w:tcPr>
          <w:p w:rsidR="009F03AF" w:rsidRPr="000F30DC" w:rsidRDefault="009F03AF" w:rsidP="0050700F">
            <w:pPr>
              <w:keepNext/>
              <w:keepLines/>
              <w:spacing w:before="40" w:after="40"/>
              <w:jc w:val="center"/>
              <w:rPr>
                <w:rFonts w:ascii="Arial Narrow" w:hAnsi="Arial Narrow"/>
                <w:noProof/>
              </w:rPr>
            </w:pPr>
            <w:r w:rsidRPr="000F30DC">
              <w:rPr>
                <w:rFonts w:ascii="Arial Narrow" w:hAnsi="Arial Narrow"/>
                <w:noProof/>
              </w:rPr>
              <w:t>0.0</w:t>
            </w:r>
          </w:p>
        </w:tc>
        <w:tc>
          <w:tcPr>
            <w:tcW w:w="2340" w:type="dxa"/>
            <w:tcBorders>
              <w:top w:val="nil"/>
              <w:left w:val="nil"/>
              <w:bottom w:val="single" w:sz="8" w:space="0" w:color="DDD9C3"/>
              <w:right w:val="nil"/>
            </w:tcBorders>
            <w:shd w:val="clear" w:color="auto" w:fill="auto"/>
            <w:vAlign w:val="center"/>
            <w:hideMark/>
          </w:tcPr>
          <w:p w:rsidR="009F03AF" w:rsidRPr="000F30DC" w:rsidRDefault="009F03AF" w:rsidP="0050700F">
            <w:pPr>
              <w:keepNext/>
              <w:keepLines/>
              <w:spacing w:before="40" w:after="40"/>
              <w:jc w:val="center"/>
              <w:rPr>
                <w:rFonts w:ascii="Arial Narrow" w:hAnsi="Arial Narrow"/>
                <w:noProof/>
              </w:rPr>
            </w:pPr>
            <w:r w:rsidRPr="000F30DC">
              <w:rPr>
                <w:rFonts w:ascii="Arial Narrow" w:hAnsi="Arial Narrow"/>
                <w:noProof/>
              </w:rPr>
              <w:t>0.0</w:t>
            </w:r>
          </w:p>
        </w:tc>
      </w:tr>
      <w:tr w:rsidR="009F03AF" w:rsidRPr="000F30DC" w:rsidTr="0050700F">
        <w:trPr>
          <w:cantSplit/>
          <w:trHeight w:val="270"/>
          <w:jc w:val="center"/>
        </w:trPr>
        <w:tc>
          <w:tcPr>
            <w:tcW w:w="3255" w:type="dxa"/>
            <w:tcBorders>
              <w:top w:val="nil"/>
              <w:left w:val="nil"/>
              <w:bottom w:val="double" w:sz="4" w:space="0" w:color="92876D"/>
              <w:right w:val="nil"/>
            </w:tcBorders>
            <w:shd w:val="clear" w:color="000000" w:fill="DDD9C3"/>
            <w:vAlign w:val="center"/>
            <w:hideMark/>
          </w:tcPr>
          <w:p w:rsidR="009F03AF" w:rsidRPr="000F30DC" w:rsidRDefault="009F03AF" w:rsidP="0050700F">
            <w:pPr>
              <w:keepNext/>
              <w:keepLines/>
              <w:spacing w:before="40" w:after="40"/>
              <w:rPr>
                <w:rFonts w:ascii="Arial Narrow" w:hAnsi="Arial Narrow"/>
                <w:noProof/>
              </w:rPr>
            </w:pPr>
            <w:r w:rsidRPr="000F30DC">
              <w:rPr>
                <w:rFonts w:ascii="Arial Narrow" w:hAnsi="Arial Narrow"/>
                <w:noProof/>
              </w:rPr>
              <w:t>HVAC Equipments</w:t>
            </w:r>
          </w:p>
        </w:tc>
        <w:tc>
          <w:tcPr>
            <w:tcW w:w="2520" w:type="dxa"/>
            <w:tcBorders>
              <w:top w:val="nil"/>
              <w:left w:val="nil"/>
              <w:bottom w:val="double" w:sz="4" w:space="0" w:color="92876D"/>
              <w:right w:val="nil"/>
            </w:tcBorders>
            <w:shd w:val="clear" w:color="000000" w:fill="DDD9C3"/>
            <w:vAlign w:val="center"/>
            <w:hideMark/>
          </w:tcPr>
          <w:p w:rsidR="009F03AF" w:rsidRPr="000F30DC" w:rsidRDefault="009F03AF" w:rsidP="0050700F">
            <w:pPr>
              <w:keepNext/>
              <w:keepLines/>
              <w:spacing w:before="40" w:after="40"/>
              <w:jc w:val="center"/>
              <w:rPr>
                <w:rFonts w:ascii="Arial Narrow" w:hAnsi="Arial Narrow"/>
                <w:noProof/>
              </w:rPr>
            </w:pPr>
            <w:r w:rsidRPr="000F30DC">
              <w:rPr>
                <w:rFonts w:ascii="Arial Narrow" w:hAnsi="Arial Narrow"/>
                <w:noProof/>
              </w:rPr>
              <w:t>0.0</w:t>
            </w:r>
          </w:p>
        </w:tc>
        <w:tc>
          <w:tcPr>
            <w:tcW w:w="2340" w:type="dxa"/>
            <w:tcBorders>
              <w:top w:val="nil"/>
              <w:left w:val="nil"/>
              <w:bottom w:val="double" w:sz="4" w:space="0" w:color="92876D"/>
              <w:right w:val="nil"/>
            </w:tcBorders>
            <w:shd w:val="clear" w:color="000000" w:fill="DDD9C3"/>
            <w:vAlign w:val="center"/>
            <w:hideMark/>
          </w:tcPr>
          <w:p w:rsidR="009F03AF" w:rsidRPr="000F30DC" w:rsidRDefault="009F03AF" w:rsidP="0050700F">
            <w:pPr>
              <w:keepNext/>
              <w:keepLines/>
              <w:spacing w:before="40" w:after="40"/>
              <w:jc w:val="center"/>
              <w:rPr>
                <w:rFonts w:ascii="Arial Narrow" w:hAnsi="Arial Narrow"/>
                <w:noProof/>
              </w:rPr>
            </w:pPr>
            <w:r w:rsidRPr="000F30DC">
              <w:rPr>
                <w:rFonts w:ascii="Arial Narrow" w:hAnsi="Arial Narrow"/>
                <w:noProof/>
              </w:rPr>
              <w:t>0.0</w:t>
            </w:r>
          </w:p>
        </w:tc>
      </w:tr>
      <w:tr w:rsidR="009F03AF" w:rsidRPr="000F30DC" w:rsidTr="0050700F">
        <w:trPr>
          <w:cantSplit/>
          <w:trHeight w:val="270"/>
          <w:jc w:val="center"/>
        </w:trPr>
        <w:tc>
          <w:tcPr>
            <w:tcW w:w="3255" w:type="dxa"/>
            <w:tcBorders>
              <w:top w:val="double" w:sz="4" w:space="0" w:color="92876D"/>
              <w:left w:val="nil"/>
              <w:bottom w:val="single" w:sz="8" w:space="0" w:color="92876D"/>
              <w:right w:val="nil"/>
            </w:tcBorders>
            <w:shd w:val="clear" w:color="auto" w:fill="auto"/>
            <w:vAlign w:val="center"/>
            <w:hideMark/>
          </w:tcPr>
          <w:p w:rsidR="009F03AF" w:rsidRPr="00C572E5" w:rsidRDefault="009F03AF" w:rsidP="0050700F">
            <w:pPr>
              <w:spacing w:before="40" w:after="40"/>
              <w:jc w:val="center"/>
              <w:rPr>
                <w:rFonts w:ascii="Arial Narrow" w:hAnsi="Arial Narrow"/>
                <w:b/>
                <w:noProof/>
              </w:rPr>
            </w:pPr>
            <w:r w:rsidRPr="00C572E5">
              <w:rPr>
                <w:rFonts w:ascii="Arial Narrow" w:hAnsi="Arial Narrow"/>
                <w:b/>
                <w:noProof/>
              </w:rPr>
              <w:t>Total Commercial Sector Adjustments</w:t>
            </w:r>
          </w:p>
        </w:tc>
        <w:tc>
          <w:tcPr>
            <w:tcW w:w="2520" w:type="dxa"/>
            <w:tcBorders>
              <w:top w:val="double" w:sz="4" w:space="0" w:color="92876D"/>
              <w:left w:val="nil"/>
              <w:bottom w:val="single" w:sz="8" w:space="0" w:color="92876D"/>
              <w:right w:val="nil"/>
            </w:tcBorders>
            <w:shd w:val="clear" w:color="auto" w:fill="auto"/>
            <w:vAlign w:val="center"/>
            <w:hideMark/>
          </w:tcPr>
          <w:p w:rsidR="009F03AF" w:rsidRPr="00C572E5" w:rsidRDefault="009F03AF" w:rsidP="0050700F">
            <w:pPr>
              <w:spacing w:before="40" w:after="40"/>
              <w:jc w:val="center"/>
              <w:rPr>
                <w:rFonts w:ascii="Arial Narrow" w:hAnsi="Arial Narrow"/>
                <w:b/>
                <w:noProof/>
              </w:rPr>
            </w:pPr>
            <w:r w:rsidRPr="00C572E5">
              <w:rPr>
                <w:rFonts w:ascii="Arial Narrow" w:hAnsi="Arial Narrow"/>
                <w:b/>
                <w:noProof/>
              </w:rPr>
              <w:t>2.6</w:t>
            </w:r>
          </w:p>
        </w:tc>
        <w:tc>
          <w:tcPr>
            <w:tcW w:w="2340" w:type="dxa"/>
            <w:tcBorders>
              <w:top w:val="double" w:sz="4" w:space="0" w:color="92876D"/>
              <w:left w:val="nil"/>
              <w:bottom w:val="single" w:sz="8" w:space="0" w:color="92876D"/>
              <w:right w:val="nil"/>
            </w:tcBorders>
            <w:shd w:val="clear" w:color="auto" w:fill="auto"/>
            <w:vAlign w:val="center"/>
            <w:hideMark/>
          </w:tcPr>
          <w:p w:rsidR="009F03AF" w:rsidRPr="00C572E5" w:rsidRDefault="009F03AF" w:rsidP="0050700F">
            <w:pPr>
              <w:spacing w:before="40" w:after="40"/>
              <w:jc w:val="center"/>
              <w:rPr>
                <w:rFonts w:ascii="Arial Narrow" w:hAnsi="Arial Narrow"/>
                <w:b/>
                <w:noProof/>
              </w:rPr>
            </w:pPr>
            <w:r w:rsidRPr="00C572E5">
              <w:rPr>
                <w:rFonts w:ascii="Arial Narrow" w:hAnsi="Arial Narrow"/>
                <w:b/>
                <w:noProof/>
              </w:rPr>
              <w:t>1.2</w:t>
            </w:r>
          </w:p>
        </w:tc>
      </w:tr>
    </w:tbl>
    <w:p w:rsidR="008353DE" w:rsidRDefault="008353DE" w:rsidP="008353DE">
      <w:pPr>
        <w:pStyle w:val="Caption"/>
        <w:jc w:val="left"/>
        <w:rPr>
          <w:color w:val="auto"/>
        </w:rPr>
      </w:pPr>
    </w:p>
    <w:p w:rsidR="008353DE" w:rsidRDefault="008353DE" w:rsidP="00090EBA">
      <w:pPr>
        <w:pStyle w:val="Caption"/>
        <w:jc w:val="left"/>
        <w:rPr>
          <w:color w:val="auto"/>
        </w:rPr>
      </w:pPr>
      <w:r w:rsidRPr="008353DE">
        <w:rPr>
          <w:color w:val="auto"/>
        </w:rPr>
        <w:t xml:space="preserve">Product Standards with Effective Date between 2005 </w:t>
      </w:r>
      <w:r>
        <w:rPr>
          <w:color w:val="auto"/>
        </w:rPr>
        <w:t xml:space="preserve">and </w:t>
      </w:r>
      <w:r w:rsidRPr="008353DE">
        <w:rPr>
          <w:color w:val="auto"/>
        </w:rPr>
        <w:t>2015</w:t>
      </w:r>
    </w:p>
    <w:p w:rsidR="0050700F" w:rsidRDefault="0050700F" w:rsidP="0050700F">
      <w:r>
        <w:t xml:space="preserve">The following table lists product standards with effective dates between 2005 and 2015. </w:t>
      </w:r>
    </w:p>
    <w:p w:rsidR="0050700F" w:rsidRPr="0050700F" w:rsidRDefault="0050700F" w:rsidP="0050700F"/>
    <w:p w:rsidR="008353DE" w:rsidRPr="008353DE" w:rsidRDefault="00090EBA" w:rsidP="008353DE">
      <w:pPr>
        <w:pStyle w:val="Caption"/>
      </w:pPr>
      <w:r>
        <w:t>Table 7</w:t>
      </w:r>
      <w:r w:rsidR="008353DE">
        <w:rPr>
          <w:noProof/>
        </w:rPr>
        <w:t>.</w:t>
      </w:r>
      <w:r w:rsidR="008353DE" w:rsidRPr="00CE2D3C">
        <w:t xml:space="preserve"> </w:t>
      </w:r>
      <w:r w:rsidR="008353DE">
        <w:t xml:space="preserve">Standard Effective Date by Product </w:t>
      </w:r>
    </w:p>
    <w:tbl>
      <w:tblPr>
        <w:tblStyle w:val="EnergyTable"/>
        <w:tblW w:w="4839" w:type="pct"/>
        <w:tblLayout w:type="fixed"/>
        <w:tblLook w:val="04A0" w:firstRow="1" w:lastRow="0" w:firstColumn="1" w:lastColumn="0" w:noHBand="0" w:noVBand="1"/>
      </w:tblPr>
      <w:tblGrid>
        <w:gridCol w:w="3673"/>
        <w:gridCol w:w="1399"/>
        <w:gridCol w:w="1399"/>
        <w:gridCol w:w="1399"/>
        <w:gridCol w:w="1398"/>
      </w:tblGrid>
      <w:tr w:rsidR="008353DE" w:rsidRPr="002822CE" w:rsidTr="0050700F">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1981" w:type="pct"/>
            <w:tcBorders>
              <w:bottom w:val="single" w:sz="8" w:space="0" w:color="DDD9C3"/>
            </w:tcBorders>
            <w:hideMark/>
          </w:tcPr>
          <w:p w:rsidR="008353DE" w:rsidRPr="002822CE" w:rsidRDefault="008353DE" w:rsidP="0050700F">
            <w:pPr>
              <w:rPr>
                <w:rFonts w:ascii="Arial Narrow" w:hAnsi="Arial Narrow" w:cs="Calibri"/>
                <w:bCs/>
                <w:szCs w:val="20"/>
              </w:rPr>
            </w:pPr>
            <w:r w:rsidRPr="002822CE">
              <w:rPr>
                <w:rFonts w:ascii="Arial Narrow" w:hAnsi="Arial Narrow" w:cs="Calibri"/>
                <w:bCs/>
                <w:szCs w:val="20"/>
              </w:rPr>
              <w:t>Product</w:t>
            </w:r>
          </w:p>
        </w:tc>
        <w:tc>
          <w:tcPr>
            <w:tcW w:w="755" w:type="pct"/>
            <w:tcBorders>
              <w:bottom w:val="single" w:sz="8" w:space="0" w:color="DDD9C3"/>
            </w:tcBorders>
            <w:hideMark/>
          </w:tcPr>
          <w:p w:rsidR="008353DE" w:rsidRPr="002822CE" w:rsidRDefault="008353DE" w:rsidP="0050700F">
            <w:pPr>
              <w:cnfStyle w:val="100000000000" w:firstRow="1" w:lastRow="0" w:firstColumn="0" w:lastColumn="0" w:oddVBand="0" w:evenVBand="0" w:oddHBand="0" w:evenHBand="0" w:firstRowFirstColumn="0" w:firstRowLastColumn="0" w:lastRowFirstColumn="0" w:lastRowLastColumn="0"/>
              <w:rPr>
                <w:rFonts w:ascii="Arial Narrow" w:hAnsi="Arial Narrow" w:cs="Calibri"/>
                <w:bCs/>
                <w:szCs w:val="20"/>
              </w:rPr>
            </w:pPr>
            <w:r w:rsidRPr="002822CE">
              <w:rPr>
                <w:rFonts w:ascii="Arial Narrow" w:hAnsi="Arial Narrow" w:cs="Calibri"/>
                <w:bCs/>
                <w:szCs w:val="20"/>
              </w:rPr>
              <w:t>Initial Federal Legislation</w:t>
            </w:r>
          </w:p>
        </w:tc>
        <w:tc>
          <w:tcPr>
            <w:tcW w:w="755" w:type="pct"/>
            <w:tcBorders>
              <w:bottom w:val="single" w:sz="8" w:space="0" w:color="DDD9C3"/>
            </w:tcBorders>
            <w:hideMark/>
          </w:tcPr>
          <w:p w:rsidR="008353DE" w:rsidRPr="002822CE" w:rsidRDefault="008353DE" w:rsidP="0050700F">
            <w:pPr>
              <w:cnfStyle w:val="100000000000" w:firstRow="1" w:lastRow="0" w:firstColumn="0" w:lastColumn="0" w:oddVBand="0" w:evenVBand="0" w:oddHBand="0" w:evenHBand="0" w:firstRowFirstColumn="0" w:firstRowLastColumn="0" w:lastRowFirstColumn="0" w:lastRowLastColumn="0"/>
              <w:rPr>
                <w:rFonts w:ascii="Arial Narrow" w:hAnsi="Arial Narrow" w:cs="Calibri"/>
                <w:bCs/>
                <w:szCs w:val="20"/>
              </w:rPr>
            </w:pPr>
            <w:r w:rsidRPr="002822CE">
              <w:rPr>
                <w:rFonts w:ascii="Arial Narrow" w:hAnsi="Arial Narrow" w:cs="Calibri"/>
                <w:bCs/>
                <w:szCs w:val="20"/>
              </w:rPr>
              <w:t>Last Standard Issued</w:t>
            </w:r>
          </w:p>
        </w:tc>
        <w:tc>
          <w:tcPr>
            <w:tcW w:w="755" w:type="pct"/>
            <w:tcBorders>
              <w:bottom w:val="single" w:sz="8" w:space="0" w:color="DDD9C3"/>
            </w:tcBorders>
            <w:hideMark/>
          </w:tcPr>
          <w:p w:rsidR="008353DE" w:rsidRPr="002822CE" w:rsidRDefault="008353DE" w:rsidP="0050700F">
            <w:pPr>
              <w:cnfStyle w:val="100000000000" w:firstRow="1" w:lastRow="0" w:firstColumn="0" w:lastColumn="0" w:oddVBand="0" w:evenVBand="0" w:oddHBand="0" w:evenHBand="0" w:firstRowFirstColumn="0" w:firstRowLastColumn="0" w:lastRowFirstColumn="0" w:lastRowLastColumn="0"/>
              <w:rPr>
                <w:rFonts w:ascii="Arial Narrow" w:hAnsi="Arial Narrow" w:cs="Calibri"/>
                <w:bCs/>
                <w:szCs w:val="20"/>
              </w:rPr>
            </w:pPr>
            <w:r w:rsidRPr="002822CE">
              <w:rPr>
                <w:rFonts w:ascii="Arial Narrow" w:hAnsi="Arial Narrow" w:cs="Calibri"/>
                <w:bCs/>
                <w:szCs w:val="20"/>
              </w:rPr>
              <w:t>Effective Date of Last Standard</w:t>
            </w:r>
          </w:p>
        </w:tc>
        <w:tc>
          <w:tcPr>
            <w:tcW w:w="755" w:type="pct"/>
            <w:tcBorders>
              <w:bottom w:val="single" w:sz="8" w:space="0" w:color="DDD9C3"/>
            </w:tcBorders>
            <w:hideMark/>
          </w:tcPr>
          <w:p w:rsidR="008353DE" w:rsidRPr="002822CE" w:rsidRDefault="008353DE" w:rsidP="0050700F">
            <w:pPr>
              <w:cnfStyle w:val="100000000000" w:firstRow="1" w:lastRow="0" w:firstColumn="0" w:lastColumn="0" w:oddVBand="0" w:evenVBand="0" w:oddHBand="0" w:evenHBand="0" w:firstRowFirstColumn="0" w:firstRowLastColumn="0" w:lastRowFirstColumn="0" w:lastRowLastColumn="0"/>
              <w:rPr>
                <w:rFonts w:ascii="Arial Narrow" w:hAnsi="Arial Narrow" w:cs="Calibri"/>
                <w:bCs/>
                <w:szCs w:val="20"/>
              </w:rPr>
            </w:pPr>
            <w:r w:rsidRPr="002822CE">
              <w:rPr>
                <w:rFonts w:ascii="Arial Narrow" w:hAnsi="Arial Narrow" w:cs="Calibri"/>
                <w:bCs/>
                <w:szCs w:val="20"/>
              </w:rPr>
              <w:t>Issued By</w:t>
            </w:r>
          </w:p>
        </w:tc>
      </w:tr>
      <w:tr w:rsidR="008353DE" w:rsidRPr="002822CE" w:rsidTr="0050700F">
        <w:trPr>
          <w:trHeight w:val="432"/>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single" w:sz="8" w:space="0" w:color="365F91" w:themeColor="accent1" w:themeShade="BF"/>
            </w:tcBorders>
            <w:shd w:val="clear" w:color="auto" w:fill="C4BC96" w:themeFill="background2" w:themeFillShade="BF"/>
            <w:hideMark/>
          </w:tcPr>
          <w:p w:rsidR="008353DE" w:rsidRPr="002822CE" w:rsidRDefault="008353DE" w:rsidP="0050700F">
            <w:pPr>
              <w:rPr>
                <w:rFonts w:ascii="Arial Narrow" w:hAnsi="Arial Narrow" w:cs="Calibri"/>
                <w:b/>
                <w:bCs/>
                <w:color w:val="FFFFFF" w:themeColor="background1"/>
                <w:szCs w:val="20"/>
              </w:rPr>
            </w:pPr>
            <w:r w:rsidRPr="002822CE">
              <w:rPr>
                <w:rFonts w:ascii="Arial Narrow" w:hAnsi="Arial Narrow" w:cs="Calibri"/>
                <w:b/>
                <w:bCs/>
                <w:color w:val="FFFFFF" w:themeColor="background1"/>
                <w:szCs w:val="20"/>
              </w:rPr>
              <w:t>Residential</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1" w:type="pct"/>
            <w:tcBorders>
              <w:top w:val="single" w:sz="8" w:space="0" w:color="365F91" w:themeColor="accent1" w:themeShade="BF"/>
            </w:tcBorders>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Residential Refrigerators and Freezers</w:t>
            </w:r>
          </w:p>
        </w:tc>
        <w:tc>
          <w:tcPr>
            <w:tcW w:w="755" w:type="pct"/>
            <w:tcBorders>
              <w:top w:val="single" w:sz="8" w:space="0" w:color="365F91" w:themeColor="accent1" w:themeShade="BF"/>
            </w:tcBorders>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NAECA 1987</w:t>
            </w:r>
          </w:p>
        </w:tc>
        <w:tc>
          <w:tcPr>
            <w:tcW w:w="755" w:type="pct"/>
            <w:tcBorders>
              <w:top w:val="single" w:sz="8" w:space="0" w:color="365F91" w:themeColor="accent1" w:themeShade="BF"/>
            </w:tcBorders>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2011</w:t>
            </w:r>
          </w:p>
        </w:tc>
        <w:tc>
          <w:tcPr>
            <w:tcW w:w="755" w:type="pct"/>
            <w:tcBorders>
              <w:top w:val="single" w:sz="8" w:space="0" w:color="365F91" w:themeColor="accent1" w:themeShade="BF"/>
            </w:tcBorders>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2014</w:t>
            </w:r>
          </w:p>
        </w:tc>
        <w:tc>
          <w:tcPr>
            <w:tcW w:w="755" w:type="pct"/>
            <w:tcBorders>
              <w:top w:val="single" w:sz="8" w:space="0" w:color="365F91" w:themeColor="accent1" w:themeShade="BF"/>
            </w:tcBorders>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DOE</w:t>
            </w:r>
          </w:p>
        </w:tc>
      </w:tr>
      <w:tr w:rsidR="008353DE" w:rsidRPr="002822CE" w:rsidTr="0050700F">
        <w:trPr>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Central Air Conditioners</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1992</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2006</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DOE</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1" w:type="pct"/>
            <w:noWrap/>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External Power Supplies</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2005</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2007</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2008</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Congress</w:t>
            </w:r>
          </w:p>
        </w:tc>
      </w:tr>
      <w:tr w:rsidR="008353DE" w:rsidRPr="002822CE" w:rsidTr="0050700F">
        <w:trPr>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Heat Pumps</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1992</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2006</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DOE</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Dishwashers</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NAECA 1987</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2012</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2013</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DOE</w:t>
            </w:r>
          </w:p>
        </w:tc>
      </w:tr>
      <w:tr w:rsidR="008353DE" w:rsidRPr="002822CE" w:rsidTr="0050700F">
        <w:trPr>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Residential Clothes Washers</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NAECA 1987</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2012</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2015</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DOE</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Dehumidifiers</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2005</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2007</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2012</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Congress</w:t>
            </w:r>
          </w:p>
        </w:tc>
      </w:tr>
      <w:tr w:rsidR="008353DE" w:rsidRPr="002822CE" w:rsidTr="0050700F">
        <w:trPr>
          <w:trHeight w:val="60"/>
        </w:trPr>
        <w:tc>
          <w:tcPr>
            <w:cnfStyle w:val="001000000000" w:firstRow="0" w:lastRow="0" w:firstColumn="1" w:lastColumn="0" w:oddVBand="0" w:evenVBand="0" w:oddHBand="0" w:evenHBand="0" w:firstRowFirstColumn="0" w:firstRowLastColumn="0" w:lastRowFirstColumn="0" w:lastRowLastColumn="0"/>
            <w:tcW w:w="1981" w:type="pct"/>
            <w:noWrap/>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Boilers</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NAECA 1987</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2007</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2012</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Congress</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Residential Room Air Conditioners</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NAECA 1987</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2011</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2014</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DOE</w:t>
            </w:r>
          </w:p>
        </w:tc>
      </w:tr>
      <w:tr w:rsidR="008353DE" w:rsidRPr="002822CE" w:rsidTr="0050700F">
        <w:trPr>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Direct Heating Equipment</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NAECA 1987</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2010</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2013</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DOE</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Cooking Ranges and Ovens</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NAECA 1987</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2009</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2012</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DOE</w:t>
            </w:r>
          </w:p>
        </w:tc>
      </w:tr>
      <w:tr w:rsidR="008353DE" w:rsidRPr="002822CE" w:rsidTr="0050700F">
        <w:trPr>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Pool Heaters</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NAECA 1987</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2010</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2013</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DOE</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1" w:type="pct"/>
            <w:noWrap/>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Compact Audio Equipment</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None</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r>
      <w:tr w:rsidR="008353DE" w:rsidRPr="002822CE" w:rsidTr="0050700F">
        <w:trPr>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DVD Players and Recorders</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None</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Pool Pumps</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None</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r>
      <w:tr w:rsidR="008353DE" w:rsidRPr="002822CE" w:rsidTr="0050700F">
        <w:trPr>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Portable Electric Spas</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None</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1" w:type="pct"/>
            <w:tcBorders>
              <w:bottom w:val="single" w:sz="8" w:space="0" w:color="DDD9C3"/>
            </w:tcBorders>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Residential Ceiling Fans</w:t>
            </w:r>
          </w:p>
        </w:tc>
        <w:tc>
          <w:tcPr>
            <w:tcW w:w="755" w:type="pct"/>
            <w:tcBorders>
              <w:bottom w:val="single" w:sz="8" w:space="0" w:color="DDD9C3"/>
            </w:tcBorders>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2005</w:t>
            </w:r>
          </w:p>
        </w:tc>
        <w:tc>
          <w:tcPr>
            <w:tcW w:w="755" w:type="pct"/>
            <w:tcBorders>
              <w:bottom w:val="single" w:sz="8" w:space="0" w:color="DDD9C3"/>
            </w:tcBorders>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2005</w:t>
            </w:r>
          </w:p>
        </w:tc>
        <w:tc>
          <w:tcPr>
            <w:tcW w:w="755" w:type="pct"/>
            <w:tcBorders>
              <w:bottom w:val="single" w:sz="8" w:space="0" w:color="DDD9C3"/>
            </w:tcBorders>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2007</w:t>
            </w:r>
          </w:p>
        </w:tc>
        <w:tc>
          <w:tcPr>
            <w:tcW w:w="755" w:type="pct"/>
            <w:tcBorders>
              <w:bottom w:val="single" w:sz="8" w:space="0" w:color="DDD9C3"/>
            </w:tcBorders>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Congress</w:t>
            </w:r>
          </w:p>
        </w:tc>
      </w:tr>
      <w:tr w:rsidR="008353DE" w:rsidRPr="002822CE" w:rsidTr="0050700F">
        <w:trPr>
          <w:trHeight w:val="432"/>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single" w:sz="8" w:space="0" w:color="365F91" w:themeColor="accent1" w:themeShade="BF"/>
            </w:tcBorders>
            <w:shd w:val="clear" w:color="auto" w:fill="C4BC96" w:themeFill="background2" w:themeFillShade="BF"/>
            <w:hideMark/>
          </w:tcPr>
          <w:p w:rsidR="008353DE" w:rsidRPr="002822CE" w:rsidRDefault="008353DE" w:rsidP="0050700F">
            <w:pPr>
              <w:rPr>
                <w:rFonts w:ascii="Arial Narrow" w:hAnsi="Arial Narrow" w:cs="Calibri"/>
                <w:b/>
                <w:bCs/>
                <w:color w:val="FFFFFF" w:themeColor="background1"/>
                <w:szCs w:val="20"/>
              </w:rPr>
            </w:pPr>
            <w:r w:rsidRPr="002822CE">
              <w:rPr>
                <w:rFonts w:ascii="Arial Narrow" w:hAnsi="Arial Narrow" w:cs="Calibri"/>
                <w:b/>
                <w:bCs/>
                <w:color w:val="FFFFFF" w:themeColor="background1"/>
                <w:szCs w:val="20"/>
              </w:rPr>
              <w:t>Commercial/Industrial</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1" w:type="pct"/>
            <w:tcBorders>
              <w:top w:val="single" w:sz="8" w:space="0" w:color="365F91" w:themeColor="accent1" w:themeShade="BF"/>
            </w:tcBorders>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Distribution Transformers: Liquid-Immersed and Medium-Voltage, Dry-Type</w:t>
            </w:r>
          </w:p>
        </w:tc>
        <w:tc>
          <w:tcPr>
            <w:tcW w:w="755" w:type="pct"/>
            <w:tcBorders>
              <w:top w:val="single" w:sz="8" w:space="0" w:color="365F91" w:themeColor="accent1" w:themeShade="BF"/>
            </w:tcBorders>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1992</w:t>
            </w:r>
          </w:p>
        </w:tc>
        <w:tc>
          <w:tcPr>
            <w:tcW w:w="755" w:type="pct"/>
            <w:tcBorders>
              <w:top w:val="single" w:sz="8" w:space="0" w:color="365F91" w:themeColor="accent1" w:themeShade="BF"/>
            </w:tcBorders>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2007</w:t>
            </w:r>
          </w:p>
        </w:tc>
        <w:tc>
          <w:tcPr>
            <w:tcW w:w="755" w:type="pct"/>
            <w:tcBorders>
              <w:top w:val="single" w:sz="8" w:space="0" w:color="365F91" w:themeColor="accent1" w:themeShade="BF"/>
            </w:tcBorders>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2010</w:t>
            </w:r>
          </w:p>
        </w:tc>
        <w:tc>
          <w:tcPr>
            <w:tcW w:w="755" w:type="pct"/>
            <w:tcBorders>
              <w:top w:val="single" w:sz="8" w:space="0" w:color="365F91" w:themeColor="accent1" w:themeShade="BF"/>
            </w:tcBorders>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DOE</w:t>
            </w:r>
          </w:p>
        </w:tc>
      </w:tr>
      <w:tr w:rsidR="008353DE" w:rsidRPr="002822CE" w:rsidTr="0050700F">
        <w:trPr>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Commercial CAC and HPs (Air-Cooled, Small)</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1992</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2007</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2008</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Congress</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1" w:type="pct"/>
            <w:noWrap/>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lastRenderedPageBreak/>
              <w:t>Commercial CAC and HPs (Air-Cooled, Large)</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1992</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2005</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2010</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Congress</w:t>
            </w:r>
          </w:p>
        </w:tc>
      </w:tr>
      <w:tr w:rsidR="008353DE" w:rsidRPr="002822CE" w:rsidTr="0050700F">
        <w:trPr>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Walk-In Coolers and Freezers</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EISA 2007</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2007</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2009</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Congress</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Commercial Refrigeration Equipment</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2005</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2009</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2012</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DOE</w:t>
            </w:r>
          </w:p>
        </w:tc>
      </w:tr>
      <w:tr w:rsidR="008353DE" w:rsidRPr="002822CE" w:rsidTr="0050700F">
        <w:trPr>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Commercial Pre-rinse Spray Valves</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2005</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2005</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2006</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Congress</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Distribution Transformers: Low-Voltage Dry-Type</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2005</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2005</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2007</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Congress</w:t>
            </w:r>
          </w:p>
        </w:tc>
      </w:tr>
      <w:tr w:rsidR="008353DE" w:rsidRPr="002822CE" w:rsidTr="0050700F">
        <w:trPr>
          <w:trHeight w:val="60"/>
        </w:trPr>
        <w:tc>
          <w:tcPr>
            <w:cnfStyle w:val="001000000000" w:firstRow="0" w:lastRow="0" w:firstColumn="1" w:lastColumn="0" w:oddVBand="0" w:evenVBand="0" w:oddHBand="0" w:evenHBand="0" w:firstRowFirstColumn="0" w:firstRowLastColumn="0" w:lastRowFirstColumn="0" w:lastRowLastColumn="0"/>
            <w:tcW w:w="1981" w:type="pct"/>
            <w:noWrap/>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Unit Heaters</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2005</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2005</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2008</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Congress</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Commercial CAC and HPs (Air-Cooled, Very Large)</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1992</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2005</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2010</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Congress</w:t>
            </w:r>
          </w:p>
        </w:tc>
      </w:tr>
      <w:tr w:rsidR="008353DE" w:rsidRPr="002822CE" w:rsidTr="0050700F">
        <w:trPr>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Commercial Clothes Washers</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2005</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2010</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2013</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DOE</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Refrigerated Beverage Vending Machines</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2005</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2009</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2012</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DOE</w:t>
            </w:r>
          </w:p>
        </w:tc>
      </w:tr>
      <w:tr w:rsidR="008353DE" w:rsidRPr="002822CE" w:rsidTr="0050700F">
        <w:trPr>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Automatic Commercial Ice Makers</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2005</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2005</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2010</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Congress</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1" w:type="pct"/>
            <w:noWrap/>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Electric Motors</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1992</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2007</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2010</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Congress</w:t>
            </w:r>
          </w:p>
        </w:tc>
      </w:tr>
      <w:tr w:rsidR="008353DE" w:rsidRPr="002822CE" w:rsidTr="0050700F">
        <w:trPr>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Commercial Packaged Boilers</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1992</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2009</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2012</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DOE</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Packaged Terminal AC and HP</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1992</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2008</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2010</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DOE</w:t>
            </w:r>
          </w:p>
        </w:tc>
      </w:tr>
      <w:tr w:rsidR="008353DE" w:rsidRPr="002822CE" w:rsidTr="0050700F">
        <w:trPr>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 xml:space="preserve">Commercial CAC and HPs (Water- and </w:t>
            </w:r>
            <w:proofErr w:type="spellStart"/>
            <w:r w:rsidRPr="002822CE">
              <w:rPr>
                <w:rFonts w:ascii="Arial Narrow" w:hAnsi="Arial Narrow" w:cs="Calibri"/>
                <w:color w:val="000000"/>
                <w:szCs w:val="20"/>
              </w:rPr>
              <w:t>Evaporatively</w:t>
            </w:r>
            <w:proofErr w:type="spellEnd"/>
            <w:r>
              <w:rPr>
                <w:rFonts w:ascii="Arial Narrow" w:hAnsi="Arial Narrow" w:cs="Calibri"/>
                <w:color w:val="000000"/>
                <w:szCs w:val="20"/>
              </w:rPr>
              <w:t xml:space="preserve"> </w:t>
            </w:r>
            <w:r w:rsidRPr="002822CE">
              <w:rPr>
                <w:rFonts w:ascii="Arial Narrow" w:hAnsi="Arial Narrow" w:cs="Calibri"/>
                <w:color w:val="000000"/>
                <w:szCs w:val="20"/>
              </w:rPr>
              <w:t xml:space="preserve">Cooled) </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1992</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2012</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2013</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DOE</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Hot Food Holding Cabinets</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None</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r>
      <w:tr w:rsidR="008353DE" w:rsidRPr="002822CE" w:rsidTr="0050700F">
        <w:trPr>
          <w:trHeight w:val="60"/>
        </w:trPr>
        <w:tc>
          <w:tcPr>
            <w:cnfStyle w:val="001000000000" w:firstRow="0" w:lastRow="0" w:firstColumn="1" w:lastColumn="0" w:oddVBand="0" w:evenVBand="0" w:oddHBand="0" w:evenHBand="0" w:firstRowFirstColumn="0" w:firstRowLastColumn="0" w:lastRowFirstColumn="0" w:lastRowLastColumn="0"/>
            <w:tcW w:w="1981" w:type="pct"/>
            <w:tcBorders>
              <w:bottom w:val="single" w:sz="8" w:space="0" w:color="DDD9C3"/>
            </w:tcBorders>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Water Dispensers</w:t>
            </w:r>
          </w:p>
        </w:tc>
        <w:tc>
          <w:tcPr>
            <w:tcW w:w="755" w:type="pct"/>
            <w:tcBorders>
              <w:bottom w:val="single" w:sz="8" w:space="0" w:color="DDD9C3"/>
            </w:tcBorders>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None</w:t>
            </w:r>
          </w:p>
        </w:tc>
        <w:tc>
          <w:tcPr>
            <w:tcW w:w="755" w:type="pct"/>
            <w:tcBorders>
              <w:bottom w:val="single" w:sz="8" w:space="0" w:color="DDD9C3"/>
            </w:tcBorders>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c>
          <w:tcPr>
            <w:tcW w:w="755" w:type="pct"/>
            <w:tcBorders>
              <w:bottom w:val="single" w:sz="8" w:space="0" w:color="DDD9C3"/>
            </w:tcBorders>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c>
          <w:tcPr>
            <w:tcW w:w="755" w:type="pct"/>
            <w:tcBorders>
              <w:bottom w:val="single" w:sz="8" w:space="0" w:color="DDD9C3"/>
            </w:tcBorders>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single" w:sz="8" w:space="0" w:color="365F91" w:themeColor="accent1" w:themeShade="BF"/>
            </w:tcBorders>
            <w:shd w:val="clear" w:color="auto" w:fill="C4BC96" w:themeFill="background2" w:themeFillShade="BF"/>
            <w:hideMark/>
          </w:tcPr>
          <w:p w:rsidR="008353DE" w:rsidRPr="002822CE" w:rsidRDefault="008353DE" w:rsidP="0050700F">
            <w:pPr>
              <w:rPr>
                <w:rFonts w:ascii="Arial Narrow" w:hAnsi="Arial Narrow" w:cs="Calibri"/>
                <w:b/>
                <w:bCs/>
                <w:color w:val="FFFFFF" w:themeColor="background1"/>
                <w:szCs w:val="20"/>
              </w:rPr>
            </w:pPr>
            <w:r w:rsidRPr="002822CE">
              <w:rPr>
                <w:rFonts w:ascii="Arial Narrow" w:hAnsi="Arial Narrow" w:cs="Calibri"/>
                <w:b/>
                <w:bCs/>
                <w:color w:val="FFFFFF" w:themeColor="background1"/>
                <w:szCs w:val="20"/>
              </w:rPr>
              <w:t>Lighting</w:t>
            </w:r>
          </w:p>
        </w:tc>
      </w:tr>
      <w:tr w:rsidR="008353DE" w:rsidRPr="002822CE" w:rsidTr="0050700F">
        <w:trPr>
          <w:trHeight w:val="60"/>
        </w:trPr>
        <w:tc>
          <w:tcPr>
            <w:cnfStyle w:val="001000000000" w:firstRow="0" w:lastRow="0" w:firstColumn="1" w:lastColumn="0" w:oddVBand="0" w:evenVBand="0" w:oddHBand="0" w:evenHBand="0" w:firstRowFirstColumn="0" w:firstRowLastColumn="0" w:lastRowFirstColumn="0" w:lastRowLastColumn="0"/>
            <w:tcW w:w="1981" w:type="pct"/>
            <w:tcBorders>
              <w:top w:val="single" w:sz="8" w:space="0" w:color="365F91" w:themeColor="accent1" w:themeShade="BF"/>
            </w:tcBorders>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 xml:space="preserve">General Service Incandescent Lamps </w:t>
            </w:r>
          </w:p>
        </w:tc>
        <w:tc>
          <w:tcPr>
            <w:tcW w:w="755" w:type="pct"/>
            <w:tcBorders>
              <w:top w:val="single" w:sz="8" w:space="0" w:color="365F91" w:themeColor="accent1" w:themeShade="BF"/>
            </w:tcBorders>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None</w:t>
            </w:r>
          </w:p>
        </w:tc>
        <w:tc>
          <w:tcPr>
            <w:tcW w:w="755" w:type="pct"/>
            <w:tcBorders>
              <w:top w:val="single" w:sz="8" w:space="0" w:color="365F91" w:themeColor="accent1" w:themeShade="BF"/>
            </w:tcBorders>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2007</w:t>
            </w:r>
          </w:p>
        </w:tc>
        <w:tc>
          <w:tcPr>
            <w:tcW w:w="755" w:type="pct"/>
            <w:tcBorders>
              <w:top w:val="single" w:sz="8" w:space="0" w:color="365F91" w:themeColor="accent1" w:themeShade="BF"/>
            </w:tcBorders>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2012</w:t>
            </w:r>
          </w:p>
        </w:tc>
        <w:tc>
          <w:tcPr>
            <w:tcW w:w="755" w:type="pct"/>
            <w:tcBorders>
              <w:top w:val="single" w:sz="8" w:space="0" w:color="365F91" w:themeColor="accent1" w:themeShade="BF"/>
            </w:tcBorders>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Congress</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81" w:type="pct"/>
            <w:noWrap/>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General Service Fluorescent Lamps</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1992</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2009</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2012</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DOE</w:t>
            </w:r>
          </w:p>
        </w:tc>
      </w:tr>
      <w:tr w:rsidR="008353DE" w:rsidRPr="002822CE" w:rsidTr="0050700F">
        <w:trPr>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Fluorescent Lamp Ballasts</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xml:space="preserve">NAECA 1988 </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2011</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2014</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DOE</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Metal Halide Lamp Fixtures</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EISA 2007</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2007</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2009</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Congress</w:t>
            </w:r>
          </w:p>
        </w:tc>
      </w:tr>
      <w:tr w:rsidR="008353DE" w:rsidRPr="002822CE" w:rsidTr="0050700F">
        <w:trPr>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Ceiling Fan Light Kits</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2005</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2005</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2007</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Congress</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proofErr w:type="spellStart"/>
            <w:r w:rsidRPr="002822CE">
              <w:rPr>
                <w:rFonts w:ascii="Arial Narrow" w:hAnsi="Arial Narrow" w:cs="Calibri"/>
                <w:color w:val="000000"/>
                <w:szCs w:val="20"/>
              </w:rPr>
              <w:t>Torchieres</w:t>
            </w:r>
            <w:proofErr w:type="spellEnd"/>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2005</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2005</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2006</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Congress</w:t>
            </w:r>
          </w:p>
        </w:tc>
      </w:tr>
      <w:tr w:rsidR="008353DE" w:rsidRPr="002822CE" w:rsidTr="0050700F">
        <w:trPr>
          <w:trHeight w:val="60"/>
        </w:trPr>
        <w:tc>
          <w:tcPr>
            <w:cnfStyle w:val="001000000000" w:firstRow="0" w:lastRow="0" w:firstColumn="1" w:lastColumn="0" w:oddVBand="0" w:evenVBand="0" w:oddHBand="0" w:evenHBand="0" w:firstRowFirstColumn="0" w:firstRowLastColumn="0" w:lastRowFirstColumn="0" w:lastRowLastColumn="0"/>
            <w:tcW w:w="1981" w:type="pct"/>
            <w:noWrap/>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Incandescent Reflector Lamps</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1992</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2009</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2012</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DOE</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Illuminated Exit Signs</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2005</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2005</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2006</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Congress</w:t>
            </w:r>
          </w:p>
        </w:tc>
      </w:tr>
      <w:tr w:rsidR="008353DE" w:rsidRPr="002822CE" w:rsidTr="0050700F">
        <w:trPr>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Traffic Signal Modules and Pedestrian Modules</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2005</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2005</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2006</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Congress</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Candelabra &amp; Intermediate Base Incandescent Lamps</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None</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2007</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2012</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Congress</w:t>
            </w:r>
          </w:p>
        </w:tc>
      </w:tr>
      <w:tr w:rsidR="008353DE" w:rsidRPr="002822CE" w:rsidTr="0050700F">
        <w:trPr>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Medium Base Compact Fluorescent Lamps</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2005</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2005</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2006</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Congress</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1" w:type="pct"/>
            <w:tcBorders>
              <w:bottom w:val="single" w:sz="8" w:space="0" w:color="DDD9C3"/>
            </w:tcBorders>
            <w:noWrap/>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Mercury Vapor Lamp Ballasts</w:t>
            </w:r>
          </w:p>
        </w:tc>
        <w:tc>
          <w:tcPr>
            <w:tcW w:w="755" w:type="pct"/>
            <w:tcBorders>
              <w:bottom w:val="single" w:sz="8" w:space="0" w:color="DDD9C3"/>
            </w:tcBorders>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2005</w:t>
            </w:r>
          </w:p>
        </w:tc>
        <w:tc>
          <w:tcPr>
            <w:tcW w:w="755" w:type="pct"/>
            <w:tcBorders>
              <w:bottom w:val="single" w:sz="8" w:space="0" w:color="DDD9C3"/>
            </w:tcBorders>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2005</w:t>
            </w:r>
          </w:p>
        </w:tc>
        <w:tc>
          <w:tcPr>
            <w:tcW w:w="755" w:type="pct"/>
            <w:tcBorders>
              <w:bottom w:val="single" w:sz="8" w:space="0" w:color="DDD9C3"/>
            </w:tcBorders>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2008</w:t>
            </w:r>
          </w:p>
        </w:tc>
        <w:tc>
          <w:tcPr>
            <w:tcW w:w="755" w:type="pct"/>
            <w:tcBorders>
              <w:bottom w:val="single" w:sz="8" w:space="0" w:color="DDD9C3"/>
            </w:tcBorders>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Congress</w:t>
            </w:r>
          </w:p>
        </w:tc>
      </w:tr>
      <w:tr w:rsidR="008353DE" w:rsidRPr="002822CE" w:rsidTr="0050700F">
        <w:trPr>
          <w:trHeight w:val="288"/>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single" w:sz="8" w:space="0" w:color="365F91" w:themeColor="accent1" w:themeShade="BF"/>
            </w:tcBorders>
            <w:shd w:val="clear" w:color="auto" w:fill="C4BC96" w:themeFill="background2" w:themeFillShade="BF"/>
            <w:hideMark/>
          </w:tcPr>
          <w:p w:rsidR="008353DE" w:rsidRPr="002822CE" w:rsidRDefault="008353DE" w:rsidP="0050700F">
            <w:pPr>
              <w:rPr>
                <w:rFonts w:ascii="Arial Narrow" w:hAnsi="Arial Narrow" w:cs="Calibri"/>
                <w:b/>
                <w:bCs/>
                <w:color w:val="FFFFFF" w:themeColor="background1"/>
                <w:szCs w:val="20"/>
              </w:rPr>
            </w:pPr>
            <w:r w:rsidRPr="002822CE">
              <w:rPr>
                <w:rFonts w:ascii="Arial Narrow" w:hAnsi="Arial Narrow" w:cs="Calibri"/>
                <w:b/>
                <w:bCs/>
                <w:color w:val="FFFFFF" w:themeColor="background1"/>
                <w:szCs w:val="20"/>
              </w:rPr>
              <w:t xml:space="preserve">Products </w:t>
            </w:r>
            <w:r>
              <w:rPr>
                <w:rFonts w:ascii="Arial Narrow" w:hAnsi="Arial Narrow" w:cs="Calibri"/>
                <w:b/>
                <w:bCs/>
                <w:color w:val="FFFFFF" w:themeColor="background1"/>
                <w:szCs w:val="20"/>
              </w:rPr>
              <w:t>N</w:t>
            </w:r>
            <w:r w:rsidRPr="002822CE">
              <w:rPr>
                <w:rFonts w:ascii="Arial Narrow" w:hAnsi="Arial Narrow" w:cs="Calibri"/>
                <w:b/>
                <w:bCs/>
                <w:color w:val="FFFFFF" w:themeColor="background1"/>
                <w:szCs w:val="20"/>
              </w:rPr>
              <w:t xml:space="preserve">ot in </w:t>
            </w:r>
            <w:r>
              <w:rPr>
                <w:rFonts w:ascii="Arial Narrow" w:hAnsi="Arial Narrow" w:cs="Calibri"/>
                <w:b/>
                <w:bCs/>
                <w:color w:val="FFFFFF" w:themeColor="background1"/>
                <w:szCs w:val="20"/>
              </w:rPr>
              <w:t>E</w:t>
            </w:r>
            <w:r w:rsidRPr="002822CE">
              <w:rPr>
                <w:rFonts w:ascii="Arial Narrow" w:hAnsi="Arial Narrow" w:cs="Calibri"/>
                <w:b/>
                <w:bCs/>
                <w:color w:val="FFFFFF" w:themeColor="background1"/>
                <w:szCs w:val="20"/>
              </w:rPr>
              <w:t>ffect from 2005-201</w:t>
            </w:r>
            <w:r>
              <w:rPr>
                <w:rFonts w:ascii="Arial Narrow" w:hAnsi="Arial Narrow" w:cs="Calibri"/>
                <w:b/>
                <w:bCs/>
                <w:color w:val="FFFFFF" w:themeColor="background1"/>
                <w:szCs w:val="20"/>
              </w:rPr>
              <w:t>5</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81" w:type="pct"/>
            <w:tcBorders>
              <w:top w:val="single" w:sz="8" w:space="0" w:color="365F91" w:themeColor="accent1" w:themeShade="BF"/>
            </w:tcBorders>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Battery Chargers</w:t>
            </w:r>
          </w:p>
        </w:tc>
        <w:tc>
          <w:tcPr>
            <w:tcW w:w="755" w:type="pct"/>
            <w:tcBorders>
              <w:top w:val="single" w:sz="8" w:space="0" w:color="365F91" w:themeColor="accent1" w:themeShade="BF"/>
            </w:tcBorders>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2005</w:t>
            </w:r>
          </w:p>
        </w:tc>
        <w:tc>
          <w:tcPr>
            <w:tcW w:w="755" w:type="pct"/>
            <w:tcBorders>
              <w:top w:val="single" w:sz="8" w:space="0" w:color="365F91" w:themeColor="accent1" w:themeShade="BF"/>
            </w:tcBorders>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None</w:t>
            </w:r>
          </w:p>
        </w:tc>
        <w:tc>
          <w:tcPr>
            <w:tcW w:w="755" w:type="pct"/>
            <w:tcBorders>
              <w:top w:val="single" w:sz="8" w:space="0" w:color="365F91" w:themeColor="accent1" w:themeShade="BF"/>
            </w:tcBorders>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None</w:t>
            </w:r>
          </w:p>
        </w:tc>
        <w:tc>
          <w:tcPr>
            <w:tcW w:w="755" w:type="pct"/>
            <w:tcBorders>
              <w:top w:val="single" w:sz="8" w:space="0" w:color="365F91" w:themeColor="accent1" w:themeShade="BF"/>
            </w:tcBorders>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N/A</w:t>
            </w:r>
          </w:p>
        </w:tc>
      </w:tr>
      <w:tr w:rsidR="008353DE" w:rsidRPr="002822CE" w:rsidTr="0050700F">
        <w:trPr>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Microwave Ovens</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NAECA 1987</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None</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None</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DOE</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Commercial Warm Air Furnaces</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1992</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2004</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r>
      <w:tr w:rsidR="008353DE" w:rsidRPr="002822CE" w:rsidTr="0050700F">
        <w:trPr>
          <w:trHeight w:val="33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Commercial Water Heating Equipment</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EPACT 1992</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2001</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2003</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DOE</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1" w:type="pct"/>
            <w:noWrap/>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High</w:t>
            </w:r>
            <w:r>
              <w:rPr>
                <w:rFonts w:ascii="Arial Narrow" w:hAnsi="Arial Narrow" w:cs="Calibri"/>
                <w:color w:val="000000"/>
                <w:szCs w:val="20"/>
              </w:rPr>
              <w:t>-</w:t>
            </w:r>
            <w:r w:rsidRPr="002822CE">
              <w:rPr>
                <w:rFonts w:ascii="Arial Narrow" w:hAnsi="Arial Narrow" w:cs="Calibri"/>
                <w:color w:val="000000"/>
                <w:szCs w:val="20"/>
              </w:rPr>
              <w:t>Intensity Discharge Lamps</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not till 2017</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 </w:t>
            </w:r>
          </w:p>
        </w:tc>
      </w:tr>
      <w:tr w:rsidR="008353DE" w:rsidRPr="002822CE" w:rsidTr="0050700F">
        <w:trPr>
          <w:trHeight w:val="330"/>
        </w:trPr>
        <w:tc>
          <w:tcPr>
            <w:cnfStyle w:val="001000000000" w:firstRow="0" w:lastRow="0" w:firstColumn="1" w:lastColumn="0" w:oddVBand="0" w:evenVBand="0" w:oddHBand="0" w:evenHBand="0" w:firstRowFirstColumn="0" w:firstRowLastColumn="0" w:lastRowFirstColumn="0" w:lastRowLastColumn="0"/>
            <w:tcW w:w="1981" w:type="pct"/>
            <w:noWrap/>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Residential Clothes Dryers</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NAECA 1987</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2011</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2015</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DOE</w:t>
            </w:r>
          </w:p>
        </w:tc>
      </w:tr>
      <w:tr w:rsidR="008353DE" w:rsidRPr="002822CE" w:rsidTr="0050700F">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Residential Water Heaters</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NAECA 1987</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2010</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2015</w:t>
            </w:r>
          </w:p>
        </w:tc>
        <w:tc>
          <w:tcPr>
            <w:tcW w:w="755" w:type="pct"/>
            <w:noWrap/>
            <w:hideMark/>
          </w:tcPr>
          <w:p w:rsidR="008353DE" w:rsidRPr="002822CE" w:rsidRDefault="008353DE" w:rsidP="0050700F">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DOE</w:t>
            </w:r>
          </w:p>
        </w:tc>
      </w:tr>
      <w:tr w:rsidR="008353DE" w:rsidRPr="002822CE" w:rsidTr="0050700F">
        <w:trPr>
          <w:trHeight w:val="330"/>
        </w:trPr>
        <w:tc>
          <w:tcPr>
            <w:cnfStyle w:val="001000000000" w:firstRow="0" w:lastRow="0" w:firstColumn="1" w:lastColumn="0" w:oddVBand="0" w:evenVBand="0" w:oddHBand="0" w:evenHBand="0" w:firstRowFirstColumn="0" w:firstRowLastColumn="0" w:lastRowFirstColumn="0" w:lastRowLastColumn="0"/>
            <w:tcW w:w="1981" w:type="pct"/>
            <w:hideMark/>
          </w:tcPr>
          <w:p w:rsidR="008353DE" w:rsidRPr="002822CE" w:rsidRDefault="008353DE" w:rsidP="0050700F">
            <w:pPr>
              <w:rPr>
                <w:rFonts w:ascii="Arial Narrow" w:hAnsi="Arial Narrow" w:cs="Calibri"/>
                <w:color w:val="000000"/>
                <w:szCs w:val="20"/>
              </w:rPr>
            </w:pPr>
            <w:r w:rsidRPr="002822CE">
              <w:rPr>
                <w:rFonts w:ascii="Arial Narrow" w:hAnsi="Arial Narrow" w:cs="Calibri"/>
                <w:color w:val="000000"/>
                <w:szCs w:val="20"/>
              </w:rPr>
              <w:t>Furnaces</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NAECA 1987</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2011 (revoked)</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2013</w:t>
            </w:r>
          </w:p>
        </w:tc>
        <w:tc>
          <w:tcPr>
            <w:tcW w:w="755" w:type="pct"/>
            <w:noWrap/>
            <w:hideMark/>
          </w:tcPr>
          <w:p w:rsidR="008353DE" w:rsidRPr="002822CE" w:rsidRDefault="008353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Cs w:val="20"/>
              </w:rPr>
            </w:pPr>
            <w:r w:rsidRPr="002822CE">
              <w:rPr>
                <w:rFonts w:ascii="Arial Narrow" w:hAnsi="Arial Narrow" w:cs="Calibri"/>
                <w:color w:val="000000"/>
                <w:szCs w:val="20"/>
              </w:rPr>
              <w:t>DOE</w:t>
            </w:r>
          </w:p>
        </w:tc>
      </w:tr>
    </w:tbl>
    <w:p w:rsidR="003B1A2B" w:rsidRDefault="003B1A2B">
      <w:pPr>
        <w:rPr>
          <w:b/>
        </w:rPr>
        <w:sectPr w:rsidR="003B1A2B">
          <w:pgSz w:w="12240" w:h="15840"/>
          <w:pgMar w:top="1440" w:right="1440" w:bottom="1440" w:left="1440" w:header="720" w:footer="720" w:gutter="0"/>
          <w:cols w:space="720"/>
          <w:docGrid w:linePitch="360"/>
        </w:sectPr>
      </w:pPr>
    </w:p>
    <w:p w:rsidR="00090EBA" w:rsidRPr="0050700F" w:rsidRDefault="0050700F" w:rsidP="0050700F">
      <w:pPr>
        <w:pStyle w:val="Caption"/>
        <w:jc w:val="left"/>
        <w:rPr>
          <w:color w:val="auto"/>
        </w:rPr>
      </w:pPr>
      <w:r w:rsidRPr="0050700F">
        <w:rPr>
          <w:color w:val="auto"/>
        </w:rPr>
        <w:lastRenderedPageBreak/>
        <w:t xml:space="preserve">Sample Data Form </w:t>
      </w:r>
    </w:p>
    <w:p w:rsidR="0050700F" w:rsidRPr="00DD5D3C" w:rsidRDefault="0050700F" w:rsidP="00DD5D3C">
      <w:r>
        <w:t xml:space="preserve">Input data of each standard analysis model are documented </w:t>
      </w:r>
      <w:r w:rsidR="001378B4">
        <w:t>in data forms, the following is an example:</w:t>
      </w:r>
      <w:r w:rsidR="00DD5D3C">
        <w:t xml:space="preserve"> </w:t>
      </w:r>
    </w:p>
    <w:p w:rsidR="0050700F" w:rsidRPr="0050700F" w:rsidRDefault="0050700F" w:rsidP="0050700F"/>
    <w:p w:rsidR="0050700F" w:rsidRPr="008353DE" w:rsidRDefault="0050700F" w:rsidP="0050700F">
      <w:pPr>
        <w:pStyle w:val="Caption"/>
      </w:pPr>
      <w:r>
        <w:t>Table 8</w:t>
      </w:r>
      <w:r>
        <w:rPr>
          <w:noProof/>
        </w:rPr>
        <w:t>.</w:t>
      </w:r>
      <w:r w:rsidRPr="00CE2D3C">
        <w:t xml:space="preserve"> </w:t>
      </w:r>
      <w:r>
        <w:t xml:space="preserve">Residential Dishwashers Input Data for Standard Model  </w:t>
      </w:r>
    </w:p>
    <w:tbl>
      <w:tblPr>
        <w:tblStyle w:val="EnergyTable"/>
        <w:tblW w:w="5000" w:type="pct"/>
        <w:tblLayout w:type="fixed"/>
        <w:tblLook w:val="06A0" w:firstRow="1" w:lastRow="0" w:firstColumn="1" w:lastColumn="0" w:noHBand="1" w:noVBand="1"/>
      </w:tblPr>
      <w:tblGrid>
        <w:gridCol w:w="433"/>
        <w:gridCol w:w="1133"/>
        <w:gridCol w:w="1059"/>
        <w:gridCol w:w="817"/>
        <w:gridCol w:w="163"/>
        <w:gridCol w:w="2037"/>
        <w:gridCol w:w="1795"/>
        <w:gridCol w:w="403"/>
        <w:gridCol w:w="163"/>
        <w:gridCol w:w="2121"/>
        <w:gridCol w:w="3052"/>
      </w:tblGrid>
      <w:tr w:rsidR="0050700F" w:rsidRPr="00D35F3D" w:rsidTr="0050700F">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164" w:type="pct"/>
            <w:shd w:val="clear" w:color="auto" w:fill="C4BC96" w:themeFill="background2" w:themeFillShade="BF"/>
            <w:textDirection w:val="btLr"/>
            <w:hideMark/>
          </w:tcPr>
          <w:p w:rsidR="0050700F" w:rsidRPr="00D35F3D" w:rsidRDefault="0050700F" w:rsidP="0050700F">
            <w:pPr>
              <w:ind w:left="113" w:right="113"/>
              <w:rPr>
                <w:rFonts w:ascii="Arial Narrow" w:hAnsi="Arial Narrow" w:cs="Calibri"/>
                <w:b w:val="0"/>
                <w:sz w:val="18"/>
                <w:szCs w:val="18"/>
              </w:rPr>
            </w:pPr>
            <w:r w:rsidRPr="00D35F3D">
              <w:rPr>
                <w:rFonts w:ascii="Arial Narrow" w:hAnsi="Arial Narrow" w:cs="Calibri"/>
                <w:b w:val="0"/>
                <w:sz w:val="18"/>
                <w:szCs w:val="18"/>
              </w:rPr>
              <w:t> </w:t>
            </w:r>
          </w:p>
        </w:tc>
        <w:tc>
          <w:tcPr>
            <w:tcW w:w="430" w:type="pct"/>
            <w:hideMark/>
          </w:tcPr>
          <w:p w:rsidR="0050700F" w:rsidRPr="00D35F3D" w:rsidRDefault="0050700F" w:rsidP="0050700F">
            <w:pPr>
              <w:cnfStyle w:val="100000000000" w:firstRow="1" w:lastRow="0" w:firstColumn="0" w:lastColumn="0" w:oddVBand="0" w:evenVBand="0" w:oddHBand="0" w:evenHBand="0" w:firstRowFirstColumn="0" w:firstRowLastColumn="0" w:lastRowFirstColumn="0" w:lastRowLastColumn="0"/>
              <w:rPr>
                <w:rFonts w:ascii="Arial Narrow" w:hAnsi="Arial Narrow" w:cs="Calibri"/>
                <w:bCs/>
                <w:sz w:val="18"/>
                <w:szCs w:val="18"/>
              </w:rPr>
            </w:pPr>
            <w:r w:rsidRPr="00D35F3D">
              <w:rPr>
                <w:rFonts w:ascii="Arial Narrow" w:hAnsi="Arial Narrow" w:cs="Calibri"/>
                <w:bCs/>
                <w:sz w:val="18"/>
                <w:szCs w:val="18"/>
              </w:rPr>
              <w:t xml:space="preserve">Input </w:t>
            </w:r>
          </w:p>
        </w:tc>
        <w:tc>
          <w:tcPr>
            <w:tcW w:w="402" w:type="pct"/>
            <w:hideMark/>
          </w:tcPr>
          <w:p w:rsidR="0050700F" w:rsidRPr="00D35F3D" w:rsidRDefault="0050700F" w:rsidP="0050700F">
            <w:pPr>
              <w:cnfStyle w:val="100000000000" w:firstRow="1" w:lastRow="0" w:firstColumn="0" w:lastColumn="0" w:oddVBand="0" w:evenVBand="0" w:oddHBand="0" w:evenHBand="0" w:firstRowFirstColumn="0" w:firstRowLastColumn="0" w:lastRowFirstColumn="0" w:lastRowLastColumn="0"/>
              <w:rPr>
                <w:rFonts w:ascii="Arial Narrow" w:hAnsi="Arial Narrow" w:cs="Calibri"/>
                <w:bCs/>
                <w:sz w:val="18"/>
                <w:szCs w:val="18"/>
              </w:rPr>
            </w:pPr>
            <w:r w:rsidRPr="00D35F3D">
              <w:rPr>
                <w:rFonts w:ascii="Arial Narrow" w:hAnsi="Arial Narrow" w:cs="Calibri"/>
                <w:bCs/>
                <w:sz w:val="18"/>
                <w:szCs w:val="18"/>
              </w:rPr>
              <w:t>Description</w:t>
            </w:r>
          </w:p>
        </w:tc>
        <w:tc>
          <w:tcPr>
            <w:tcW w:w="372" w:type="pct"/>
            <w:gridSpan w:val="2"/>
            <w:hideMark/>
          </w:tcPr>
          <w:p w:rsidR="0050700F" w:rsidRPr="00D35F3D" w:rsidRDefault="0050700F" w:rsidP="0050700F">
            <w:pPr>
              <w:cnfStyle w:val="100000000000" w:firstRow="1" w:lastRow="0" w:firstColumn="0" w:lastColumn="0" w:oddVBand="0" w:evenVBand="0" w:oddHBand="0" w:evenHBand="0" w:firstRowFirstColumn="0" w:firstRowLastColumn="0" w:lastRowFirstColumn="0" w:lastRowLastColumn="0"/>
              <w:rPr>
                <w:rFonts w:ascii="Arial Narrow" w:hAnsi="Arial Narrow" w:cs="Calibri"/>
                <w:bCs/>
                <w:sz w:val="18"/>
                <w:szCs w:val="18"/>
              </w:rPr>
            </w:pPr>
            <w:r w:rsidRPr="00D35F3D">
              <w:rPr>
                <w:rFonts w:ascii="Arial Narrow" w:hAnsi="Arial Narrow" w:cs="Calibri"/>
                <w:bCs/>
                <w:sz w:val="18"/>
                <w:szCs w:val="18"/>
              </w:rPr>
              <w:t>Regional Value Different from DOE NIA?</w:t>
            </w:r>
          </w:p>
        </w:tc>
        <w:tc>
          <w:tcPr>
            <w:tcW w:w="773" w:type="pct"/>
            <w:hideMark/>
          </w:tcPr>
          <w:p w:rsidR="0050700F" w:rsidRPr="00D35F3D" w:rsidRDefault="0050700F" w:rsidP="0050700F">
            <w:pPr>
              <w:cnfStyle w:val="100000000000" w:firstRow="1" w:lastRow="0" w:firstColumn="0" w:lastColumn="0" w:oddVBand="0" w:evenVBand="0" w:oddHBand="0" w:evenHBand="0" w:firstRowFirstColumn="0" w:firstRowLastColumn="0" w:lastRowFirstColumn="0" w:lastRowLastColumn="0"/>
              <w:rPr>
                <w:rFonts w:ascii="Arial Narrow" w:hAnsi="Arial Narrow" w:cs="Calibri"/>
                <w:bCs/>
                <w:sz w:val="18"/>
                <w:szCs w:val="18"/>
              </w:rPr>
            </w:pPr>
            <w:r w:rsidRPr="00D35F3D">
              <w:rPr>
                <w:rFonts w:ascii="Arial Narrow" w:hAnsi="Arial Narrow" w:cs="Calibri"/>
                <w:bCs/>
                <w:sz w:val="18"/>
                <w:szCs w:val="18"/>
              </w:rPr>
              <w:t xml:space="preserve">Regional Value </w:t>
            </w:r>
          </w:p>
        </w:tc>
        <w:tc>
          <w:tcPr>
            <w:tcW w:w="681" w:type="pct"/>
            <w:hideMark/>
          </w:tcPr>
          <w:p w:rsidR="0050700F" w:rsidRPr="00D35F3D" w:rsidRDefault="0050700F" w:rsidP="0050700F">
            <w:pPr>
              <w:cnfStyle w:val="100000000000" w:firstRow="1" w:lastRow="0" w:firstColumn="0" w:lastColumn="0" w:oddVBand="0" w:evenVBand="0" w:oddHBand="0" w:evenHBand="0" w:firstRowFirstColumn="0" w:firstRowLastColumn="0" w:lastRowFirstColumn="0" w:lastRowLastColumn="0"/>
              <w:rPr>
                <w:rFonts w:ascii="Arial Narrow" w:hAnsi="Arial Narrow" w:cs="Calibri"/>
                <w:bCs/>
                <w:sz w:val="18"/>
                <w:szCs w:val="18"/>
              </w:rPr>
            </w:pPr>
            <w:r w:rsidRPr="00D35F3D">
              <w:rPr>
                <w:rFonts w:ascii="Arial Narrow" w:hAnsi="Arial Narrow" w:cs="Calibri"/>
                <w:bCs/>
                <w:sz w:val="18"/>
                <w:szCs w:val="18"/>
              </w:rPr>
              <w:t xml:space="preserve">DOE Value </w:t>
            </w:r>
          </w:p>
        </w:tc>
        <w:tc>
          <w:tcPr>
            <w:tcW w:w="1020" w:type="pct"/>
            <w:gridSpan w:val="3"/>
            <w:hideMark/>
          </w:tcPr>
          <w:p w:rsidR="0050700F" w:rsidRPr="00D35F3D" w:rsidRDefault="0050700F" w:rsidP="0050700F">
            <w:pPr>
              <w:cnfStyle w:val="100000000000" w:firstRow="1" w:lastRow="0" w:firstColumn="0" w:lastColumn="0" w:oddVBand="0" w:evenVBand="0" w:oddHBand="0" w:evenHBand="0" w:firstRowFirstColumn="0" w:firstRowLastColumn="0" w:lastRowFirstColumn="0" w:lastRowLastColumn="0"/>
              <w:rPr>
                <w:rFonts w:ascii="Arial Narrow" w:hAnsi="Arial Narrow" w:cs="Calibri"/>
                <w:bCs/>
                <w:sz w:val="18"/>
                <w:szCs w:val="18"/>
              </w:rPr>
            </w:pPr>
            <w:r w:rsidRPr="00D35F3D">
              <w:rPr>
                <w:rFonts w:ascii="Arial Narrow" w:hAnsi="Arial Narrow" w:cs="Calibri"/>
                <w:bCs/>
                <w:sz w:val="18"/>
                <w:szCs w:val="18"/>
              </w:rPr>
              <w:t>Notes</w:t>
            </w:r>
          </w:p>
        </w:tc>
        <w:tc>
          <w:tcPr>
            <w:tcW w:w="1158" w:type="pct"/>
            <w:hideMark/>
          </w:tcPr>
          <w:p w:rsidR="0050700F" w:rsidRPr="00D35F3D" w:rsidRDefault="0050700F" w:rsidP="0050700F">
            <w:pPr>
              <w:cnfStyle w:val="100000000000" w:firstRow="1" w:lastRow="0" w:firstColumn="0" w:lastColumn="0" w:oddVBand="0" w:evenVBand="0" w:oddHBand="0" w:evenHBand="0" w:firstRowFirstColumn="0" w:firstRowLastColumn="0" w:lastRowFirstColumn="0" w:lastRowLastColumn="0"/>
              <w:rPr>
                <w:rFonts w:ascii="Arial Narrow" w:hAnsi="Arial Narrow" w:cs="Calibri"/>
                <w:bCs/>
                <w:sz w:val="18"/>
                <w:szCs w:val="18"/>
              </w:rPr>
            </w:pPr>
            <w:r w:rsidRPr="00D35F3D">
              <w:rPr>
                <w:rFonts w:ascii="Arial Narrow" w:hAnsi="Arial Narrow" w:cs="Calibri"/>
                <w:bCs/>
                <w:sz w:val="18"/>
                <w:szCs w:val="18"/>
              </w:rPr>
              <w:t xml:space="preserve">Data Source </w:t>
            </w:r>
          </w:p>
        </w:tc>
      </w:tr>
      <w:tr w:rsidR="0050700F" w:rsidRPr="00D35F3D" w:rsidTr="0050700F">
        <w:trPr>
          <w:trHeight w:val="432"/>
        </w:trPr>
        <w:tc>
          <w:tcPr>
            <w:cnfStyle w:val="001000000000" w:firstRow="0" w:lastRow="0" w:firstColumn="1" w:lastColumn="0" w:oddVBand="0" w:evenVBand="0" w:oddHBand="0" w:evenHBand="0" w:firstRowFirstColumn="0" w:firstRowLastColumn="0" w:lastRowFirstColumn="0" w:lastRowLastColumn="0"/>
            <w:tcW w:w="164" w:type="pct"/>
            <w:vMerge w:val="restart"/>
            <w:tcBorders>
              <w:top w:val="single" w:sz="8" w:space="0" w:color="365F91" w:themeColor="accent1" w:themeShade="BF"/>
              <w:bottom w:val="single" w:sz="8" w:space="0" w:color="DDD9C3"/>
            </w:tcBorders>
            <w:shd w:val="clear" w:color="auto" w:fill="C4BC96" w:themeFill="background2" w:themeFillShade="BF"/>
            <w:textDirection w:val="btLr"/>
            <w:hideMark/>
          </w:tcPr>
          <w:p w:rsidR="0050700F" w:rsidRPr="00D35F3D" w:rsidRDefault="0050700F" w:rsidP="0050700F">
            <w:pPr>
              <w:ind w:left="113" w:right="113"/>
              <w:rPr>
                <w:rFonts w:ascii="Arial Narrow" w:hAnsi="Arial Narrow" w:cs="Calibri"/>
                <w:b/>
                <w:color w:val="FFFFFF" w:themeColor="background1"/>
                <w:sz w:val="18"/>
                <w:szCs w:val="18"/>
              </w:rPr>
            </w:pPr>
            <w:r w:rsidRPr="00D35F3D">
              <w:rPr>
                <w:rFonts w:ascii="Arial Narrow" w:hAnsi="Arial Narrow" w:cs="Calibri"/>
                <w:b/>
                <w:color w:val="FFFFFF" w:themeColor="background1"/>
                <w:sz w:val="18"/>
                <w:szCs w:val="18"/>
              </w:rPr>
              <w:t xml:space="preserve">Usage </w:t>
            </w:r>
          </w:p>
        </w:tc>
        <w:tc>
          <w:tcPr>
            <w:tcW w:w="430" w:type="pct"/>
            <w:tcBorders>
              <w:top w:val="single" w:sz="8" w:space="0" w:color="365F91" w:themeColor="accent1" w:themeShade="BF"/>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Cycles per Year</w:t>
            </w:r>
          </w:p>
        </w:tc>
        <w:tc>
          <w:tcPr>
            <w:tcW w:w="402" w:type="pct"/>
            <w:tcBorders>
              <w:top w:val="single" w:sz="8" w:space="0" w:color="365F91" w:themeColor="accent1" w:themeShade="BF"/>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Average annual washing cycle </w:t>
            </w:r>
          </w:p>
        </w:tc>
        <w:tc>
          <w:tcPr>
            <w:tcW w:w="372" w:type="pct"/>
            <w:gridSpan w:val="2"/>
            <w:tcBorders>
              <w:top w:val="single" w:sz="8" w:space="0" w:color="365F91" w:themeColor="accent1" w:themeShade="BF"/>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Yes, different from DOE</w:t>
            </w:r>
          </w:p>
        </w:tc>
        <w:tc>
          <w:tcPr>
            <w:tcW w:w="773" w:type="pct"/>
            <w:tcBorders>
              <w:top w:val="single" w:sz="8" w:space="0" w:color="365F91" w:themeColor="accent1" w:themeShade="BF"/>
            </w:tcBorders>
            <w:shd w:val="clear" w:color="auto" w:fill="FFFF00"/>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r w:rsidRPr="00D35F3D">
              <w:rPr>
                <w:rFonts w:ascii="Arial Narrow" w:hAnsi="Arial Narrow" w:cs="Calibri"/>
                <w:sz w:val="18"/>
                <w:szCs w:val="18"/>
              </w:rPr>
              <w:t>5P/6P: 215 cycles/</w:t>
            </w:r>
            <w:proofErr w:type="spellStart"/>
            <w:r w:rsidRPr="00D35F3D">
              <w:rPr>
                <w:rFonts w:ascii="Arial Narrow" w:hAnsi="Arial Narrow" w:cs="Calibri"/>
                <w:sz w:val="18"/>
                <w:szCs w:val="18"/>
              </w:rPr>
              <w:t>yr</w:t>
            </w:r>
            <w:proofErr w:type="spellEnd"/>
            <w:r w:rsidRPr="00D35F3D">
              <w:rPr>
                <w:rFonts w:ascii="Arial Narrow" w:hAnsi="Arial Narrow" w:cs="Calibri"/>
                <w:sz w:val="18"/>
                <w:szCs w:val="18"/>
              </w:rPr>
              <w:t xml:space="preserve"> (For all Res Housing Types); </w:t>
            </w:r>
            <w:r w:rsidRPr="00D35F3D">
              <w:rPr>
                <w:rFonts w:ascii="Arial Narrow" w:hAnsi="Arial Narrow" w:cs="Calibri"/>
                <w:sz w:val="18"/>
                <w:szCs w:val="18"/>
              </w:rPr>
              <w:br/>
              <w:t>RBSA (2012)</w:t>
            </w:r>
            <w:r>
              <w:rPr>
                <w:rFonts w:ascii="Arial Narrow" w:hAnsi="Arial Narrow" w:cs="Calibri"/>
                <w:sz w:val="18"/>
                <w:szCs w:val="18"/>
              </w:rPr>
              <w:t>: 170 cycles/</w:t>
            </w:r>
            <w:proofErr w:type="spellStart"/>
            <w:r>
              <w:rPr>
                <w:rFonts w:ascii="Arial Narrow" w:hAnsi="Arial Narrow" w:cs="Calibri"/>
                <w:sz w:val="18"/>
                <w:szCs w:val="18"/>
              </w:rPr>
              <w:t>yr</w:t>
            </w:r>
            <w:proofErr w:type="spellEnd"/>
            <w:r>
              <w:rPr>
                <w:rFonts w:ascii="Arial Narrow" w:hAnsi="Arial Narrow" w:cs="Calibri"/>
                <w:sz w:val="18"/>
                <w:szCs w:val="18"/>
              </w:rPr>
              <w:t xml:space="preserve"> (Single Family)</w:t>
            </w:r>
            <w:r w:rsidRPr="00D35F3D">
              <w:rPr>
                <w:rFonts w:ascii="Arial Narrow" w:hAnsi="Arial Narrow" w:cs="Calibri"/>
                <w:sz w:val="18"/>
                <w:szCs w:val="18"/>
              </w:rPr>
              <w:br/>
              <w:t>RBSA (2012): 116 cycles/</w:t>
            </w:r>
            <w:proofErr w:type="spellStart"/>
            <w:r w:rsidRPr="00D35F3D">
              <w:rPr>
                <w:rFonts w:ascii="Arial Narrow" w:hAnsi="Arial Narrow" w:cs="Calibri"/>
                <w:sz w:val="18"/>
                <w:szCs w:val="18"/>
              </w:rPr>
              <w:t>yr</w:t>
            </w:r>
            <w:proofErr w:type="spellEnd"/>
            <w:r w:rsidRPr="00D35F3D">
              <w:rPr>
                <w:rFonts w:ascii="Arial Narrow" w:hAnsi="Arial Narrow" w:cs="Calibri"/>
                <w:sz w:val="18"/>
                <w:szCs w:val="18"/>
              </w:rPr>
              <w:t xml:space="preserve"> (Manufactured Homes)</w:t>
            </w:r>
          </w:p>
        </w:tc>
        <w:tc>
          <w:tcPr>
            <w:tcW w:w="681" w:type="pct"/>
            <w:tcBorders>
              <w:top w:val="single" w:sz="8" w:space="0" w:color="365F91" w:themeColor="accent1" w:themeShade="BF"/>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215</w:t>
            </w:r>
          </w:p>
        </w:tc>
        <w:tc>
          <w:tcPr>
            <w:tcW w:w="1020" w:type="pct"/>
            <w:gridSpan w:val="3"/>
            <w:tcBorders>
              <w:top w:val="single" w:sz="8" w:space="0" w:color="365F91" w:themeColor="accent1" w:themeShade="BF"/>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r w:rsidRPr="00D35F3D">
              <w:rPr>
                <w:rFonts w:ascii="Arial Narrow" w:hAnsi="Arial Narrow" w:cs="Calibri"/>
                <w:sz w:val="18"/>
                <w:szCs w:val="18"/>
              </w:rPr>
              <w:t xml:space="preserve">Update with RBSA values for Single Family and Manufactured Homes. </w:t>
            </w:r>
          </w:p>
        </w:tc>
        <w:tc>
          <w:tcPr>
            <w:tcW w:w="1158" w:type="pct"/>
            <w:tcBorders>
              <w:top w:val="single" w:sz="8" w:space="0" w:color="365F91" w:themeColor="accent1" w:themeShade="BF"/>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RBSA (2012), NW Council Supply Curve: EStarResDishwasherFY09v1_0, DOE RES Dishwasher NIA</w:t>
            </w:r>
          </w:p>
        </w:tc>
      </w:tr>
      <w:tr w:rsidR="0050700F" w:rsidRPr="00D35F3D" w:rsidTr="0050700F">
        <w:trPr>
          <w:trHeight w:val="675"/>
        </w:trPr>
        <w:tc>
          <w:tcPr>
            <w:cnfStyle w:val="001000000000" w:firstRow="0" w:lastRow="0" w:firstColumn="1" w:lastColumn="0" w:oddVBand="0" w:evenVBand="0" w:oddHBand="0" w:evenHBand="0" w:firstRowFirstColumn="0" w:firstRowLastColumn="0" w:lastRowFirstColumn="0" w:lastRowLastColumn="0"/>
            <w:tcW w:w="164" w:type="pct"/>
            <w:vMerge/>
            <w:tcBorders>
              <w:bottom w:val="single" w:sz="8" w:space="0" w:color="DDD9C3"/>
            </w:tcBorders>
            <w:shd w:val="clear" w:color="auto" w:fill="C4BC96" w:themeFill="background2" w:themeFillShade="BF"/>
            <w:textDirection w:val="btLr"/>
            <w:hideMark/>
          </w:tcPr>
          <w:p w:rsidR="0050700F" w:rsidRPr="00D35F3D" w:rsidRDefault="0050700F" w:rsidP="0050700F">
            <w:pPr>
              <w:ind w:left="113" w:right="113"/>
              <w:rPr>
                <w:rFonts w:ascii="Arial Narrow" w:hAnsi="Arial Narrow" w:cs="Calibri"/>
                <w:color w:val="000000"/>
                <w:sz w:val="18"/>
                <w:szCs w:val="18"/>
              </w:rPr>
            </w:pPr>
          </w:p>
        </w:tc>
        <w:tc>
          <w:tcPr>
            <w:tcW w:w="430"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Water Heating Fuel Share</w:t>
            </w:r>
          </w:p>
        </w:tc>
        <w:tc>
          <w:tcPr>
            <w:tcW w:w="402"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DHW heating market share by fuel type </w:t>
            </w:r>
          </w:p>
        </w:tc>
        <w:tc>
          <w:tcPr>
            <w:tcW w:w="372" w:type="pct"/>
            <w:gridSpan w:val="2"/>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Yes, different from DOE</w:t>
            </w:r>
          </w:p>
        </w:tc>
        <w:tc>
          <w:tcPr>
            <w:tcW w:w="773" w:type="pct"/>
            <w:shd w:val="clear" w:color="auto" w:fill="FFFF00"/>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64% electric (6P); 55%(SF) 89% electric (MH) (RBSA 2012)</w:t>
            </w:r>
          </w:p>
        </w:tc>
        <w:tc>
          <w:tcPr>
            <w:tcW w:w="681"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37% electric, 59% gas, 4% oil</w:t>
            </w:r>
          </w:p>
        </w:tc>
        <w:tc>
          <w:tcPr>
            <w:tcW w:w="1020" w:type="pct"/>
            <w:gridSpan w:val="3"/>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Regional water heating fuel share is used </w:t>
            </w:r>
          </w:p>
        </w:tc>
        <w:tc>
          <w:tcPr>
            <w:tcW w:w="1158"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RBSA (2012)</w:t>
            </w:r>
          </w:p>
        </w:tc>
      </w:tr>
      <w:tr w:rsidR="0050700F" w:rsidRPr="00D35F3D" w:rsidTr="0050700F">
        <w:trPr>
          <w:trHeight w:val="675"/>
        </w:trPr>
        <w:tc>
          <w:tcPr>
            <w:cnfStyle w:val="001000000000" w:firstRow="0" w:lastRow="0" w:firstColumn="1" w:lastColumn="0" w:oddVBand="0" w:evenVBand="0" w:oddHBand="0" w:evenHBand="0" w:firstRowFirstColumn="0" w:firstRowLastColumn="0" w:lastRowFirstColumn="0" w:lastRowLastColumn="0"/>
            <w:tcW w:w="164" w:type="pct"/>
            <w:vMerge/>
            <w:tcBorders>
              <w:bottom w:val="single" w:sz="8" w:space="0" w:color="DDD9C3"/>
            </w:tcBorders>
            <w:shd w:val="clear" w:color="auto" w:fill="C4BC96" w:themeFill="background2" w:themeFillShade="BF"/>
            <w:textDirection w:val="btLr"/>
            <w:hideMark/>
          </w:tcPr>
          <w:p w:rsidR="0050700F" w:rsidRPr="00D35F3D" w:rsidRDefault="0050700F" w:rsidP="0050700F">
            <w:pPr>
              <w:ind w:left="113" w:right="113"/>
              <w:rPr>
                <w:rFonts w:ascii="Arial Narrow" w:hAnsi="Arial Narrow" w:cs="Calibri"/>
                <w:color w:val="000000"/>
                <w:sz w:val="18"/>
                <w:szCs w:val="18"/>
              </w:rPr>
            </w:pPr>
          </w:p>
        </w:tc>
        <w:tc>
          <w:tcPr>
            <w:tcW w:w="430"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5P Baseline Device Efficiency</w:t>
            </w:r>
          </w:p>
        </w:tc>
        <w:tc>
          <w:tcPr>
            <w:tcW w:w="402"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5th Plan baseline device efficiency tiers</w:t>
            </w:r>
          </w:p>
        </w:tc>
        <w:tc>
          <w:tcPr>
            <w:tcW w:w="372" w:type="pct"/>
            <w:gridSpan w:val="2"/>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Yes, different from DOE</w:t>
            </w:r>
          </w:p>
        </w:tc>
        <w:tc>
          <w:tcPr>
            <w:tcW w:w="773" w:type="pct"/>
            <w:shd w:val="clear" w:color="auto" w:fill="FFFF00"/>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Prior Federal Standard EF46 used as Baseline (Standard Configuration), 2005-2009</w:t>
            </w:r>
          </w:p>
        </w:tc>
        <w:tc>
          <w:tcPr>
            <w:tcW w:w="681" w:type="pct"/>
            <w:vMerge w:val="restar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6 Efficiency Levels for Standard Configuration Dishwashers and 3 Efficiency Levels for Compact Configuration Dishwashers</w:t>
            </w:r>
          </w:p>
        </w:tc>
        <w:tc>
          <w:tcPr>
            <w:tcW w:w="1020" w:type="pct"/>
            <w:gridSpan w:val="3"/>
            <w:vMerge w:val="restar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DOE has more efficiency tiers and product classes</w:t>
            </w:r>
          </w:p>
        </w:tc>
        <w:tc>
          <w:tcPr>
            <w:tcW w:w="1158"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NW Council Supply Curve: EStarResDishwasherFY09v1_0, DOE RES Dishwasher NIA</w:t>
            </w:r>
          </w:p>
        </w:tc>
      </w:tr>
      <w:tr w:rsidR="0050700F" w:rsidRPr="00D35F3D" w:rsidTr="0050700F">
        <w:trPr>
          <w:trHeight w:val="675"/>
        </w:trPr>
        <w:tc>
          <w:tcPr>
            <w:cnfStyle w:val="001000000000" w:firstRow="0" w:lastRow="0" w:firstColumn="1" w:lastColumn="0" w:oddVBand="0" w:evenVBand="0" w:oddHBand="0" w:evenHBand="0" w:firstRowFirstColumn="0" w:firstRowLastColumn="0" w:lastRowFirstColumn="0" w:lastRowLastColumn="0"/>
            <w:tcW w:w="164" w:type="pct"/>
            <w:vMerge/>
            <w:tcBorders>
              <w:bottom w:val="single" w:sz="8" w:space="0" w:color="DDD9C3"/>
            </w:tcBorders>
            <w:shd w:val="clear" w:color="auto" w:fill="C4BC96" w:themeFill="background2" w:themeFillShade="BF"/>
            <w:textDirection w:val="btLr"/>
            <w:hideMark/>
          </w:tcPr>
          <w:p w:rsidR="0050700F" w:rsidRPr="00D35F3D" w:rsidRDefault="0050700F" w:rsidP="0050700F">
            <w:pPr>
              <w:ind w:left="113" w:right="113"/>
              <w:rPr>
                <w:rFonts w:ascii="Arial Narrow" w:hAnsi="Arial Narrow" w:cs="Calibri"/>
                <w:color w:val="000000"/>
                <w:sz w:val="18"/>
                <w:szCs w:val="18"/>
              </w:rPr>
            </w:pPr>
          </w:p>
        </w:tc>
        <w:tc>
          <w:tcPr>
            <w:tcW w:w="430"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6P Baseline Device Efficiency</w:t>
            </w:r>
          </w:p>
        </w:tc>
        <w:tc>
          <w:tcPr>
            <w:tcW w:w="402"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Sixth Plan baseline device efficiency tiers</w:t>
            </w:r>
          </w:p>
        </w:tc>
        <w:tc>
          <w:tcPr>
            <w:tcW w:w="372" w:type="pct"/>
            <w:gridSpan w:val="2"/>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Yes, different from DOE</w:t>
            </w:r>
          </w:p>
        </w:tc>
        <w:tc>
          <w:tcPr>
            <w:tcW w:w="773" w:type="pct"/>
            <w:shd w:val="clear" w:color="auto" w:fill="FFFF00"/>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Energy Star EF65 used as Baseline (Standard Configuration), 2010-2034</w:t>
            </w:r>
          </w:p>
        </w:tc>
        <w:tc>
          <w:tcPr>
            <w:tcW w:w="681" w:type="pct"/>
            <w:vMerge/>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p>
        </w:tc>
        <w:tc>
          <w:tcPr>
            <w:tcW w:w="1020" w:type="pct"/>
            <w:gridSpan w:val="3"/>
            <w:vMerge/>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p>
        </w:tc>
        <w:tc>
          <w:tcPr>
            <w:tcW w:w="1158"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NW Council Supply Curve: EStarResDishwasherFY09v1_0, DOE RES Dishwasher NIA</w:t>
            </w:r>
          </w:p>
        </w:tc>
      </w:tr>
      <w:tr w:rsidR="0050700F" w:rsidRPr="00D35F3D" w:rsidTr="0050700F">
        <w:trPr>
          <w:trHeight w:val="1125"/>
        </w:trPr>
        <w:tc>
          <w:tcPr>
            <w:cnfStyle w:val="001000000000" w:firstRow="0" w:lastRow="0" w:firstColumn="1" w:lastColumn="0" w:oddVBand="0" w:evenVBand="0" w:oddHBand="0" w:evenHBand="0" w:firstRowFirstColumn="0" w:firstRowLastColumn="0" w:lastRowFirstColumn="0" w:lastRowLastColumn="0"/>
            <w:tcW w:w="164" w:type="pct"/>
            <w:vMerge/>
            <w:tcBorders>
              <w:bottom w:val="single" w:sz="8" w:space="0" w:color="DDD9C3"/>
            </w:tcBorders>
            <w:shd w:val="clear" w:color="auto" w:fill="C4BC96" w:themeFill="background2" w:themeFillShade="BF"/>
            <w:textDirection w:val="btLr"/>
            <w:hideMark/>
          </w:tcPr>
          <w:p w:rsidR="0050700F" w:rsidRPr="00D35F3D" w:rsidRDefault="0050700F" w:rsidP="0050700F">
            <w:pPr>
              <w:ind w:left="113" w:right="113"/>
              <w:rPr>
                <w:rFonts w:ascii="Arial Narrow" w:hAnsi="Arial Narrow" w:cs="Calibri"/>
                <w:color w:val="000000"/>
                <w:sz w:val="18"/>
                <w:szCs w:val="18"/>
              </w:rPr>
            </w:pPr>
          </w:p>
        </w:tc>
        <w:tc>
          <w:tcPr>
            <w:tcW w:w="430" w:type="pct"/>
            <w:tcBorders>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2010 Standard Device Efficiency </w:t>
            </w:r>
          </w:p>
        </w:tc>
        <w:tc>
          <w:tcPr>
            <w:tcW w:w="402" w:type="pct"/>
            <w:tcBorders>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Device efficiency after standard took effect</w:t>
            </w:r>
          </w:p>
        </w:tc>
        <w:tc>
          <w:tcPr>
            <w:tcW w:w="372" w:type="pct"/>
            <w:gridSpan w:val="2"/>
            <w:tcBorders>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Yes, different from DOE</w:t>
            </w:r>
          </w:p>
        </w:tc>
        <w:tc>
          <w:tcPr>
            <w:tcW w:w="773" w:type="pct"/>
            <w:tcBorders>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Prior Federal Standard EF46 (484 kWh/</w:t>
            </w:r>
            <w:proofErr w:type="spellStart"/>
            <w:r w:rsidRPr="00D35F3D">
              <w:rPr>
                <w:rFonts w:ascii="Arial Narrow" w:hAnsi="Arial Narrow" w:cs="Calibri"/>
                <w:color w:val="000000"/>
                <w:sz w:val="18"/>
                <w:szCs w:val="18"/>
              </w:rPr>
              <w:t>yr</w:t>
            </w:r>
            <w:proofErr w:type="spellEnd"/>
            <w:r w:rsidRPr="00D35F3D">
              <w:rPr>
                <w:rFonts w:ascii="Arial Narrow" w:hAnsi="Arial Narrow" w:cs="Calibri"/>
                <w:color w:val="000000"/>
                <w:sz w:val="18"/>
                <w:szCs w:val="18"/>
              </w:rPr>
              <w:t>)</w:t>
            </w:r>
          </w:p>
        </w:tc>
        <w:tc>
          <w:tcPr>
            <w:tcW w:w="681" w:type="pct"/>
            <w:tcBorders>
              <w:bottom w:val="single" w:sz="8" w:space="0" w:color="DDD9C3"/>
            </w:tcBorders>
            <w:shd w:val="clear" w:color="auto" w:fill="FFFF00"/>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Standard Configuration - 2010 Federal Standard: EF 61 (355 kWh/</w:t>
            </w:r>
            <w:proofErr w:type="spellStart"/>
            <w:r w:rsidRPr="00D35F3D">
              <w:rPr>
                <w:rFonts w:ascii="Arial Narrow" w:hAnsi="Arial Narrow" w:cs="Calibri"/>
                <w:color w:val="000000"/>
                <w:sz w:val="18"/>
                <w:szCs w:val="18"/>
              </w:rPr>
              <w:t>yr</w:t>
            </w:r>
            <w:proofErr w:type="spellEnd"/>
            <w:r w:rsidRPr="00D35F3D">
              <w:rPr>
                <w:rFonts w:ascii="Arial Narrow" w:hAnsi="Arial Narrow" w:cs="Calibri"/>
                <w:color w:val="000000"/>
                <w:sz w:val="18"/>
                <w:szCs w:val="18"/>
              </w:rPr>
              <w:t>)</w:t>
            </w:r>
            <w:r w:rsidRPr="00D35F3D">
              <w:rPr>
                <w:rFonts w:ascii="Arial Narrow" w:hAnsi="Arial Narrow" w:cs="Calibri"/>
                <w:color w:val="000000"/>
                <w:sz w:val="18"/>
                <w:szCs w:val="18"/>
              </w:rPr>
              <w:br/>
              <w:t>Compact Configuration - 2010 Federal Standard: EF 83 (260 kWh/</w:t>
            </w:r>
            <w:proofErr w:type="spellStart"/>
            <w:r w:rsidRPr="00D35F3D">
              <w:rPr>
                <w:rFonts w:ascii="Arial Narrow" w:hAnsi="Arial Narrow" w:cs="Calibri"/>
                <w:color w:val="000000"/>
                <w:sz w:val="18"/>
                <w:szCs w:val="18"/>
              </w:rPr>
              <w:t>yr</w:t>
            </w:r>
            <w:proofErr w:type="spellEnd"/>
            <w:r w:rsidRPr="00D35F3D">
              <w:rPr>
                <w:rFonts w:ascii="Arial Narrow" w:hAnsi="Arial Narrow" w:cs="Calibri"/>
                <w:color w:val="000000"/>
                <w:sz w:val="18"/>
                <w:szCs w:val="18"/>
              </w:rPr>
              <w:t>)</w:t>
            </w:r>
          </w:p>
        </w:tc>
        <w:tc>
          <w:tcPr>
            <w:tcW w:w="1020" w:type="pct"/>
            <w:gridSpan w:val="3"/>
            <w:vMerge w:val="restart"/>
            <w:tcBorders>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Council's Sixth Plan baseline (Energy Star EF 65) is more efficient than the 2010 Federal Standard for Standard Configuration Dishwashers (EF 61). </w:t>
            </w:r>
          </w:p>
        </w:tc>
        <w:tc>
          <w:tcPr>
            <w:tcW w:w="1158" w:type="pct"/>
            <w:vMerge w:val="restart"/>
            <w:tcBorders>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NW Council Supply Curve: EStarResDishwasherFY09v1_0, DOE RES Dishwasher NIA</w:t>
            </w:r>
          </w:p>
        </w:tc>
      </w:tr>
      <w:tr w:rsidR="0050700F" w:rsidRPr="00D35F3D" w:rsidTr="0050700F">
        <w:trPr>
          <w:trHeight w:val="900"/>
        </w:trPr>
        <w:tc>
          <w:tcPr>
            <w:cnfStyle w:val="001000000000" w:firstRow="0" w:lastRow="0" w:firstColumn="1" w:lastColumn="0" w:oddVBand="0" w:evenVBand="0" w:oddHBand="0" w:evenHBand="0" w:firstRowFirstColumn="0" w:firstRowLastColumn="0" w:lastRowFirstColumn="0" w:lastRowLastColumn="0"/>
            <w:tcW w:w="164" w:type="pct"/>
            <w:vMerge/>
            <w:tcBorders>
              <w:bottom w:val="single" w:sz="8" w:space="0" w:color="DDD9C3"/>
            </w:tcBorders>
            <w:shd w:val="clear" w:color="auto" w:fill="C4BC96" w:themeFill="background2" w:themeFillShade="BF"/>
            <w:textDirection w:val="btLr"/>
            <w:hideMark/>
          </w:tcPr>
          <w:p w:rsidR="0050700F" w:rsidRPr="00D35F3D" w:rsidRDefault="0050700F" w:rsidP="0050700F">
            <w:pPr>
              <w:ind w:left="113" w:right="113"/>
              <w:rPr>
                <w:rFonts w:ascii="Arial Narrow" w:hAnsi="Arial Narrow" w:cs="Calibri"/>
                <w:color w:val="000000"/>
                <w:sz w:val="18"/>
                <w:szCs w:val="18"/>
              </w:rPr>
            </w:pPr>
          </w:p>
        </w:tc>
        <w:tc>
          <w:tcPr>
            <w:tcW w:w="430" w:type="pct"/>
            <w:tcBorders>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2013 Standard Device Efficiency </w:t>
            </w:r>
          </w:p>
        </w:tc>
        <w:tc>
          <w:tcPr>
            <w:tcW w:w="402" w:type="pct"/>
            <w:tcBorders>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Device efficiency after standard took effect</w:t>
            </w:r>
          </w:p>
        </w:tc>
        <w:tc>
          <w:tcPr>
            <w:tcW w:w="372" w:type="pct"/>
            <w:gridSpan w:val="2"/>
            <w:tcBorders>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Yes, different from DOE</w:t>
            </w:r>
          </w:p>
        </w:tc>
        <w:tc>
          <w:tcPr>
            <w:tcW w:w="773" w:type="pct"/>
            <w:tcBorders>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Energy Star EF65 (330 kWh/</w:t>
            </w:r>
            <w:proofErr w:type="spellStart"/>
            <w:r w:rsidRPr="00D35F3D">
              <w:rPr>
                <w:rFonts w:ascii="Arial Narrow" w:hAnsi="Arial Narrow" w:cs="Calibri"/>
                <w:color w:val="000000"/>
                <w:sz w:val="18"/>
                <w:szCs w:val="18"/>
              </w:rPr>
              <w:t>yr</w:t>
            </w:r>
            <w:proofErr w:type="spellEnd"/>
            <w:r w:rsidRPr="00D35F3D">
              <w:rPr>
                <w:rFonts w:ascii="Arial Narrow" w:hAnsi="Arial Narrow" w:cs="Calibri"/>
                <w:color w:val="000000"/>
                <w:sz w:val="18"/>
                <w:szCs w:val="18"/>
              </w:rPr>
              <w:t>)</w:t>
            </w:r>
          </w:p>
        </w:tc>
        <w:tc>
          <w:tcPr>
            <w:tcW w:w="681" w:type="pct"/>
            <w:tcBorders>
              <w:bottom w:val="single" w:sz="8" w:space="0" w:color="DDD9C3"/>
            </w:tcBorders>
            <w:shd w:val="clear" w:color="auto" w:fill="FFFF00"/>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Standard Configuration - 2013 Federal Standard: EF 70 (307 kWh/</w:t>
            </w:r>
            <w:proofErr w:type="spellStart"/>
            <w:r w:rsidRPr="00D35F3D">
              <w:rPr>
                <w:rFonts w:ascii="Arial Narrow" w:hAnsi="Arial Narrow" w:cs="Calibri"/>
                <w:color w:val="000000"/>
                <w:sz w:val="18"/>
                <w:szCs w:val="18"/>
              </w:rPr>
              <w:t>yr</w:t>
            </w:r>
            <w:proofErr w:type="spellEnd"/>
            <w:r w:rsidRPr="00D35F3D">
              <w:rPr>
                <w:rFonts w:ascii="Arial Narrow" w:hAnsi="Arial Narrow" w:cs="Calibri"/>
                <w:color w:val="000000"/>
                <w:sz w:val="18"/>
                <w:szCs w:val="18"/>
              </w:rPr>
              <w:t>)</w:t>
            </w:r>
            <w:r w:rsidRPr="00D35F3D">
              <w:rPr>
                <w:rFonts w:ascii="Arial Narrow" w:hAnsi="Arial Narrow" w:cs="Calibri"/>
                <w:color w:val="000000"/>
                <w:sz w:val="18"/>
                <w:szCs w:val="18"/>
              </w:rPr>
              <w:br/>
              <w:t>Compact Configuration - 2013 Federal Standard: EF 97 (222 kWh/</w:t>
            </w:r>
            <w:proofErr w:type="spellStart"/>
            <w:r w:rsidRPr="00D35F3D">
              <w:rPr>
                <w:rFonts w:ascii="Arial Narrow" w:hAnsi="Arial Narrow" w:cs="Calibri"/>
                <w:color w:val="000000"/>
                <w:sz w:val="18"/>
                <w:szCs w:val="18"/>
              </w:rPr>
              <w:t>yr</w:t>
            </w:r>
            <w:proofErr w:type="spellEnd"/>
            <w:r w:rsidRPr="00D35F3D">
              <w:rPr>
                <w:rFonts w:ascii="Arial Narrow" w:hAnsi="Arial Narrow" w:cs="Calibri"/>
                <w:color w:val="000000"/>
                <w:sz w:val="18"/>
                <w:szCs w:val="18"/>
              </w:rPr>
              <w:t>)</w:t>
            </w:r>
          </w:p>
        </w:tc>
        <w:tc>
          <w:tcPr>
            <w:tcW w:w="1020" w:type="pct"/>
            <w:gridSpan w:val="3"/>
            <w:vMerge/>
            <w:tcBorders>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p>
        </w:tc>
        <w:tc>
          <w:tcPr>
            <w:tcW w:w="1158" w:type="pct"/>
            <w:vMerge/>
            <w:tcBorders>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p>
        </w:tc>
      </w:tr>
      <w:tr w:rsidR="0050700F" w:rsidRPr="00D35F3D" w:rsidTr="0050700F">
        <w:trPr>
          <w:trHeight w:val="900"/>
        </w:trPr>
        <w:tc>
          <w:tcPr>
            <w:cnfStyle w:val="001000000000" w:firstRow="0" w:lastRow="0" w:firstColumn="1" w:lastColumn="0" w:oddVBand="0" w:evenVBand="0" w:oddHBand="0" w:evenHBand="0" w:firstRowFirstColumn="0" w:firstRowLastColumn="0" w:lastRowFirstColumn="0" w:lastRowLastColumn="0"/>
            <w:tcW w:w="164" w:type="pct"/>
            <w:vMerge w:val="restart"/>
            <w:tcBorders>
              <w:top w:val="single" w:sz="8" w:space="0" w:color="DDD9C3"/>
              <w:bottom w:val="single" w:sz="8" w:space="0" w:color="DDD9C3"/>
            </w:tcBorders>
            <w:shd w:val="clear" w:color="auto" w:fill="C4BC96" w:themeFill="background2" w:themeFillShade="BF"/>
            <w:textDirection w:val="btLr"/>
            <w:hideMark/>
          </w:tcPr>
          <w:p w:rsidR="0050700F" w:rsidRPr="00D35F3D" w:rsidRDefault="0050700F" w:rsidP="0050700F">
            <w:pPr>
              <w:ind w:left="113" w:right="113"/>
              <w:rPr>
                <w:rFonts w:ascii="Arial Narrow" w:hAnsi="Arial Narrow" w:cs="Calibri"/>
                <w:b/>
                <w:color w:val="FFFFFF" w:themeColor="background1"/>
                <w:sz w:val="18"/>
                <w:szCs w:val="18"/>
              </w:rPr>
            </w:pPr>
            <w:r w:rsidRPr="00D35F3D">
              <w:rPr>
                <w:rFonts w:ascii="Arial Narrow" w:hAnsi="Arial Narrow" w:cs="Calibri"/>
                <w:b/>
                <w:color w:val="FFFFFF" w:themeColor="background1"/>
                <w:sz w:val="18"/>
                <w:szCs w:val="18"/>
              </w:rPr>
              <w:t xml:space="preserve">Market </w:t>
            </w:r>
          </w:p>
        </w:tc>
        <w:tc>
          <w:tcPr>
            <w:tcW w:w="430" w:type="pct"/>
            <w:tcBorders>
              <w:top w:val="single" w:sz="8" w:space="0" w:color="DDD9C3"/>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Pre-C</w:t>
            </w:r>
            <w:r w:rsidRPr="00D35F3D">
              <w:rPr>
                <w:rFonts w:ascii="Arial Narrow" w:hAnsi="Arial Narrow" w:cs="Calibri"/>
                <w:color w:val="000000"/>
                <w:sz w:val="18"/>
                <w:szCs w:val="18"/>
              </w:rPr>
              <w:t xml:space="preserve">ase product class distribution </w:t>
            </w:r>
          </w:p>
        </w:tc>
        <w:tc>
          <w:tcPr>
            <w:tcW w:w="402" w:type="pct"/>
            <w:tcBorders>
              <w:top w:val="single" w:sz="8" w:space="0" w:color="DDD9C3"/>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Number of product class(s) and distribution if standard did not exist </w:t>
            </w:r>
          </w:p>
        </w:tc>
        <w:tc>
          <w:tcPr>
            <w:tcW w:w="310" w:type="pct"/>
            <w:tcBorders>
              <w:top w:val="single" w:sz="8" w:space="0" w:color="DDD9C3"/>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Yes, different from DOE</w:t>
            </w:r>
          </w:p>
        </w:tc>
        <w:tc>
          <w:tcPr>
            <w:tcW w:w="835" w:type="pct"/>
            <w:gridSpan w:val="2"/>
            <w:tcBorders>
              <w:top w:val="single" w:sz="8" w:space="0" w:color="DDD9C3"/>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1 product class (Standard Configuration) with the same EF</w:t>
            </w:r>
          </w:p>
        </w:tc>
        <w:tc>
          <w:tcPr>
            <w:tcW w:w="681" w:type="pct"/>
            <w:tcBorders>
              <w:top w:val="single" w:sz="8" w:space="0" w:color="DDD9C3"/>
              <w:bottom w:val="single" w:sz="8" w:space="0" w:color="DDD9C3"/>
            </w:tcBorders>
            <w:shd w:val="clear" w:color="auto" w:fill="FFFF00"/>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2 product classes with different EF's ; 99.8% Standard Configuration and 0.20% Compact Configuration</w:t>
            </w:r>
          </w:p>
        </w:tc>
        <w:tc>
          <w:tcPr>
            <w:tcW w:w="1020" w:type="pct"/>
            <w:gridSpan w:val="3"/>
            <w:tcBorders>
              <w:top w:val="single" w:sz="8" w:space="0" w:color="DDD9C3"/>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The council's baseline did not distinguish Standard vs. Compact configuration equipment. Suggest to analyze standard configuration only for simplicity</w:t>
            </w:r>
          </w:p>
        </w:tc>
        <w:tc>
          <w:tcPr>
            <w:tcW w:w="1158" w:type="pct"/>
            <w:tcBorders>
              <w:top w:val="single" w:sz="8" w:space="0" w:color="DDD9C3"/>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NW Council Supply Curve: EStarResDishwasherFY09v1_0, DOE RES Dishwasher NIA</w:t>
            </w:r>
          </w:p>
        </w:tc>
      </w:tr>
      <w:tr w:rsidR="0050700F" w:rsidRPr="00D35F3D" w:rsidTr="0050700F">
        <w:trPr>
          <w:trHeight w:val="1800"/>
        </w:trPr>
        <w:tc>
          <w:tcPr>
            <w:cnfStyle w:val="001000000000" w:firstRow="0" w:lastRow="0" w:firstColumn="1" w:lastColumn="0" w:oddVBand="0" w:evenVBand="0" w:oddHBand="0" w:evenHBand="0" w:firstRowFirstColumn="0" w:firstRowLastColumn="0" w:lastRowFirstColumn="0" w:lastRowLastColumn="0"/>
            <w:tcW w:w="164" w:type="pct"/>
            <w:vMerge/>
            <w:tcBorders>
              <w:top w:val="single" w:sz="8" w:space="0" w:color="DDD9C3"/>
            </w:tcBorders>
            <w:shd w:val="clear" w:color="auto" w:fill="C4BC96" w:themeFill="background2" w:themeFillShade="BF"/>
            <w:textDirection w:val="btLr"/>
            <w:hideMark/>
          </w:tcPr>
          <w:p w:rsidR="0050700F" w:rsidRPr="00D35F3D" w:rsidRDefault="0050700F" w:rsidP="0050700F">
            <w:pPr>
              <w:ind w:left="113" w:right="113"/>
              <w:rPr>
                <w:rFonts w:ascii="Arial Narrow" w:hAnsi="Arial Narrow" w:cs="Calibri"/>
                <w:color w:val="000000"/>
                <w:sz w:val="18"/>
                <w:szCs w:val="18"/>
              </w:rPr>
            </w:pPr>
          </w:p>
        </w:tc>
        <w:tc>
          <w:tcPr>
            <w:tcW w:w="430" w:type="pct"/>
            <w:tcBorders>
              <w:top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Post-Case</w:t>
            </w:r>
            <w:r w:rsidRPr="00D35F3D">
              <w:rPr>
                <w:rFonts w:ascii="Arial Narrow" w:hAnsi="Arial Narrow" w:cs="Calibri"/>
                <w:color w:val="000000"/>
                <w:sz w:val="18"/>
                <w:szCs w:val="18"/>
              </w:rPr>
              <w:t xml:space="preserve"> case product class distribution </w:t>
            </w:r>
          </w:p>
        </w:tc>
        <w:tc>
          <w:tcPr>
            <w:tcW w:w="402" w:type="pct"/>
            <w:tcBorders>
              <w:top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Number of product class(s) and distribution factoring in the effective standard</w:t>
            </w:r>
          </w:p>
        </w:tc>
        <w:tc>
          <w:tcPr>
            <w:tcW w:w="310" w:type="pct"/>
            <w:tcBorders>
              <w:top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Yes, different from DOE</w:t>
            </w:r>
          </w:p>
        </w:tc>
        <w:tc>
          <w:tcPr>
            <w:tcW w:w="835" w:type="pct"/>
            <w:gridSpan w:val="2"/>
            <w:tcBorders>
              <w:top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Not applicable since the 2013 standard was not included in 5P/6P. 6P baseline is above 2010 standard level. </w:t>
            </w:r>
          </w:p>
        </w:tc>
        <w:tc>
          <w:tcPr>
            <w:tcW w:w="681" w:type="pct"/>
            <w:tcBorders>
              <w:top w:val="single" w:sz="8" w:space="0" w:color="DDD9C3"/>
            </w:tcBorders>
            <w:shd w:val="clear" w:color="auto" w:fill="FFFF00"/>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2 product classes with different EF's ; 99.8% Standard Configuration and 0.20% Compact Configuration for 2010 standard and 2013 standard years</w:t>
            </w:r>
          </w:p>
        </w:tc>
        <w:tc>
          <w:tcPr>
            <w:tcW w:w="1020" w:type="pct"/>
            <w:gridSpan w:val="3"/>
            <w:tcBorders>
              <w:top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The council's baseline did not distinguish Standard vs. Compact configuration equipment. Suggest to analyze standard configuration only. Note that Council's Sixth Plan baseline (Energy Star EF 65) is more efficient than the 2010 Federal Standard for Standard Configuration Dishwashers (EF 61). </w:t>
            </w:r>
          </w:p>
        </w:tc>
        <w:tc>
          <w:tcPr>
            <w:tcW w:w="1158" w:type="pct"/>
            <w:tcBorders>
              <w:top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NW Council Supply Curve: EStarResDishwasherFY09v1_0, DOE RES Dishwasher NIA</w:t>
            </w:r>
          </w:p>
        </w:tc>
      </w:tr>
      <w:tr w:rsidR="0050700F" w:rsidRPr="00D35F3D" w:rsidTr="0050700F">
        <w:trPr>
          <w:trHeight w:val="915"/>
        </w:trPr>
        <w:tc>
          <w:tcPr>
            <w:cnfStyle w:val="001000000000" w:firstRow="0" w:lastRow="0" w:firstColumn="1" w:lastColumn="0" w:oddVBand="0" w:evenVBand="0" w:oddHBand="0" w:evenHBand="0" w:firstRowFirstColumn="0" w:firstRowLastColumn="0" w:lastRowFirstColumn="0" w:lastRowLastColumn="0"/>
            <w:tcW w:w="164" w:type="pct"/>
            <w:vMerge/>
            <w:shd w:val="clear" w:color="auto" w:fill="C4BC96" w:themeFill="background2" w:themeFillShade="BF"/>
            <w:textDirection w:val="btLr"/>
            <w:hideMark/>
          </w:tcPr>
          <w:p w:rsidR="0050700F" w:rsidRPr="00D35F3D" w:rsidRDefault="0050700F" w:rsidP="0050700F">
            <w:pPr>
              <w:ind w:left="113" w:right="113"/>
              <w:rPr>
                <w:rFonts w:ascii="Arial Narrow" w:hAnsi="Arial Narrow" w:cs="Calibri"/>
                <w:color w:val="000000"/>
                <w:sz w:val="18"/>
                <w:szCs w:val="18"/>
              </w:rPr>
            </w:pPr>
          </w:p>
        </w:tc>
        <w:tc>
          <w:tcPr>
            <w:tcW w:w="430"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Pre-Case</w:t>
            </w:r>
            <w:r w:rsidRPr="00D35F3D">
              <w:rPr>
                <w:rFonts w:ascii="Arial Narrow" w:hAnsi="Arial Narrow" w:cs="Calibri"/>
                <w:color w:val="000000"/>
                <w:sz w:val="18"/>
                <w:szCs w:val="18"/>
              </w:rPr>
              <w:t xml:space="preserve"> efficiency level distribution</w:t>
            </w:r>
          </w:p>
        </w:tc>
        <w:tc>
          <w:tcPr>
            <w:tcW w:w="402"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Efficiency distribution of each product class if standard did not exist </w:t>
            </w:r>
          </w:p>
        </w:tc>
        <w:tc>
          <w:tcPr>
            <w:tcW w:w="310"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Yes, different from DOE</w:t>
            </w:r>
          </w:p>
        </w:tc>
        <w:tc>
          <w:tcPr>
            <w:tcW w:w="835" w:type="pct"/>
            <w:gridSpan w:val="2"/>
            <w:shd w:val="clear" w:color="auto" w:fill="FFFF00"/>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100% at EF 46 from 2005-2009; 100% at EF 65 from 2010-2034</w:t>
            </w:r>
          </w:p>
        </w:tc>
        <w:tc>
          <w:tcPr>
            <w:tcW w:w="681"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99.8% Standard Configuration and 0.20% Compact Configuration for both 2010 and 2013 standard years</w:t>
            </w:r>
          </w:p>
        </w:tc>
        <w:tc>
          <w:tcPr>
            <w:tcW w:w="1020" w:type="pct"/>
            <w:gridSpan w:val="3"/>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Using frozen efficiency as the </w:t>
            </w:r>
            <w:r>
              <w:rPr>
                <w:rFonts w:ascii="Arial Narrow" w:hAnsi="Arial Narrow" w:cs="Calibri"/>
                <w:color w:val="000000"/>
                <w:sz w:val="18"/>
                <w:szCs w:val="18"/>
              </w:rPr>
              <w:t>Pre-C</w:t>
            </w:r>
            <w:r w:rsidRPr="00D35F3D">
              <w:rPr>
                <w:rFonts w:ascii="Arial Narrow" w:hAnsi="Arial Narrow" w:cs="Calibri"/>
                <w:color w:val="000000"/>
                <w:sz w:val="18"/>
                <w:szCs w:val="18"/>
              </w:rPr>
              <w:t>ase</w:t>
            </w:r>
          </w:p>
        </w:tc>
        <w:tc>
          <w:tcPr>
            <w:tcW w:w="1158"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NW Council Supply Curve: EStarResDishwasherFY09v1_0, DOE RES Dishwasher NIA</w:t>
            </w:r>
          </w:p>
        </w:tc>
      </w:tr>
      <w:tr w:rsidR="0050700F" w:rsidRPr="00D35F3D" w:rsidTr="0050700F">
        <w:trPr>
          <w:trHeight w:val="675"/>
        </w:trPr>
        <w:tc>
          <w:tcPr>
            <w:cnfStyle w:val="001000000000" w:firstRow="0" w:lastRow="0" w:firstColumn="1" w:lastColumn="0" w:oddVBand="0" w:evenVBand="0" w:oddHBand="0" w:evenHBand="0" w:firstRowFirstColumn="0" w:firstRowLastColumn="0" w:lastRowFirstColumn="0" w:lastRowLastColumn="0"/>
            <w:tcW w:w="164" w:type="pct"/>
            <w:vMerge/>
            <w:shd w:val="clear" w:color="auto" w:fill="C4BC96" w:themeFill="background2" w:themeFillShade="BF"/>
            <w:textDirection w:val="btLr"/>
            <w:hideMark/>
          </w:tcPr>
          <w:p w:rsidR="0050700F" w:rsidRPr="00D35F3D" w:rsidRDefault="0050700F" w:rsidP="0050700F">
            <w:pPr>
              <w:ind w:left="113" w:right="113"/>
              <w:rPr>
                <w:rFonts w:ascii="Arial Narrow" w:hAnsi="Arial Narrow" w:cs="Calibri"/>
                <w:color w:val="000000"/>
                <w:sz w:val="18"/>
                <w:szCs w:val="18"/>
              </w:rPr>
            </w:pPr>
          </w:p>
        </w:tc>
        <w:tc>
          <w:tcPr>
            <w:tcW w:w="430"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Post-Case</w:t>
            </w:r>
            <w:r w:rsidRPr="00D35F3D">
              <w:rPr>
                <w:rFonts w:ascii="Arial Narrow" w:hAnsi="Arial Narrow" w:cs="Calibri"/>
                <w:color w:val="000000"/>
                <w:sz w:val="18"/>
                <w:szCs w:val="18"/>
              </w:rPr>
              <w:t xml:space="preserve"> efficiency level distribution </w:t>
            </w:r>
          </w:p>
        </w:tc>
        <w:tc>
          <w:tcPr>
            <w:tcW w:w="402"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Efficiency distribution of each product class factoring in the effective standard </w:t>
            </w:r>
          </w:p>
        </w:tc>
        <w:tc>
          <w:tcPr>
            <w:tcW w:w="310"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Yes, different from DOE</w:t>
            </w:r>
          </w:p>
        </w:tc>
        <w:tc>
          <w:tcPr>
            <w:tcW w:w="835" w:type="pct"/>
            <w:gridSpan w:val="2"/>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Not applicable since the 2013 standard was not included in 5P/6P Baselines</w:t>
            </w:r>
          </w:p>
        </w:tc>
        <w:tc>
          <w:tcPr>
            <w:tcW w:w="681" w:type="pct"/>
            <w:shd w:val="clear" w:color="auto" w:fill="FFFF00"/>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100% at </w:t>
            </w:r>
            <w:r>
              <w:rPr>
                <w:rFonts w:ascii="Arial Narrow" w:hAnsi="Arial Narrow" w:cs="Calibri"/>
                <w:color w:val="000000"/>
                <w:sz w:val="18"/>
                <w:szCs w:val="18"/>
              </w:rPr>
              <w:t>Pre-Case</w:t>
            </w:r>
            <w:r w:rsidRPr="00D35F3D">
              <w:rPr>
                <w:rFonts w:ascii="Arial Narrow" w:hAnsi="Arial Narrow" w:cs="Calibri"/>
                <w:color w:val="000000"/>
                <w:sz w:val="18"/>
                <w:szCs w:val="18"/>
              </w:rPr>
              <w:t xml:space="preserve"> level until 2013, 100% at 2013 standard efficiency level after 2013.</w:t>
            </w:r>
          </w:p>
        </w:tc>
        <w:tc>
          <w:tcPr>
            <w:tcW w:w="1020" w:type="pct"/>
            <w:gridSpan w:val="3"/>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100% compliance after standard effective year in 2013. </w:t>
            </w:r>
          </w:p>
        </w:tc>
        <w:tc>
          <w:tcPr>
            <w:tcW w:w="1158"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Modeling assumption/DOE RES Dishwasher NIA</w:t>
            </w:r>
          </w:p>
        </w:tc>
      </w:tr>
      <w:tr w:rsidR="0050700F" w:rsidRPr="00D35F3D" w:rsidTr="0050700F">
        <w:trPr>
          <w:trHeight w:val="675"/>
        </w:trPr>
        <w:tc>
          <w:tcPr>
            <w:cnfStyle w:val="001000000000" w:firstRow="0" w:lastRow="0" w:firstColumn="1" w:lastColumn="0" w:oddVBand="0" w:evenVBand="0" w:oddHBand="0" w:evenHBand="0" w:firstRowFirstColumn="0" w:firstRowLastColumn="0" w:lastRowFirstColumn="0" w:lastRowLastColumn="0"/>
            <w:tcW w:w="164" w:type="pct"/>
            <w:vMerge/>
            <w:tcBorders>
              <w:bottom w:val="single" w:sz="8" w:space="0" w:color="DDD9C3"/>
            </w:tcBorders>
            <w:shd w:val="clear" w:color="auto" w:fill="C4BC96" w:themeFill="background2" w:themeFillShade="BF"/>
            <w:textDirection w:val="btLr"/>
            <w:hideMark/>
          </w:tcPr>
          <w:p w:rsidR="0050700F" w:rsidRPr="00D35F3D" w:rsidRDefault="0050700F" w:rsidP="0050700F">
            <w:pPr>
              <w:ind w:left="113" w:right="113"/>
              <w:rPr>
                <w:rFonts w:ascii="Arial Narrow" w:hAnsi="Arial Narrow" w:cs="Calibri"/>
                <w:color w:val="000000"/>
                <w:sz w:val="18"/>
                <w:szCs w:val="18"/>
              </w:rPr>
            </w:pPr>
          </w:p>
        </w:tc>
        <w:tc>
          <w:tcPr>
            <w:tcW w:w="430" w:type="pct"/>
            <w:tcBorders>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Appliance Saturation </w:t>
            </w:r>
          </w:p>
        </w:tc>
        <w:tc>
          <w:tcPr>
            <w:tcW w:w="402" w:type="pct"/>
            <w:tcBorders>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Saturation rate of Res Dishwashers in the NW region </w:t>
            </w:r>
          </w:p>
        </w:tc>
        <w:tc>
          <w:tcPr>
            <w:tcW w:w="310" w:type="pct"/>
            <w:tcBorders>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No, same as DOE</w:t>
            </w:r>
          </w:p>
        </w:tc>
        <w:tc>
          <w:tcPr>
            <w:tcW w:w="835" w:type="pct"/>
            <w:gridSpan w:val="2"/>
            <w:tcBorders>
              <w:bottom w:val="single" w:sz="8" w:space="0" w:color="DDD9C3"/>
            </w:tcBorders>
            <w:shd w:val="clear" w:color="auto" w:fill="FFFF00"/>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5P/6P: 67% </w:t>
            </w:r>
            <w:r w:rsidRPr="00D35F3D">
              <w:rPr>
                <w:rFonts w:ascii="Arial Narrow" w:hAnsi="Arial Narrow" w:cs="Calibri"/>
                <w:color w:val="000000"/>
                <w:sz w:val="18"/>
                <w:szCs w:val="18"/>
              </w:rPr>
              <w:br/>
              <w:t>RBSA 2012: 89% (SF); 77% (Manufactured)</w:t>
            </w:r>
          </w:p>
        </w:tc>
        <w:tc>
          <w:tcPr>
            <w:tcW w:w="681" w:type="pct"/>
            <w:tcBorders>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DOE 2011: 96.7%</w:t>
            </w:r>
          </w:p>
        </w:tc>
        <w:tc>
          <w:tcPr>
            <w:tcW w:w="1020" w:type="pct"/>
            <w:gridSpan w:val="3"/>
            <w:tcBorders>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Use RBSA 2012 value </w:t>
            </w:r>
          </w:p>
        </w:tc>
        <w:tc>
          <w:tcPr>
            <w:tcW w:w="1158" w:type="pct"/>
            <w:tcBorders>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RBSA 2012 </w:t>
            </w:r>
          </w:p>
        </w:tc>
      </w:tr>
      <w:tr w:rsidR="0050700F" w:rsidRPr="00D35F3D" w:rsidTr="0050700F">
        <w:trPr>
          <w:trHeight w:val="675"/>
        </w:trPr>
        <w:tc>
          <w:tcPr>
            <w:cnfStyle w:val="001000000000" w:firstRow="0" w:lastRow="0" w:firstColumn="1" w:lastColumn="0" w:oddVBand="0" w:evenVBand="0" w:oddHBand="0" w:evenHBand="0" w:firstRowFirstColumn="0" w:firstRowLastColumn="0" w:lastRowFirstColumn="0" w:lastRowLastColumn="0"/>
            <w:tcW w:w="164" w:type="pct"/>
            <w:vMerge w:val="restart"/>
            <w:tcBorders>
              <w:top w:val="single" w:sz="8" w:space="0" w:color="DDD9C3"/>
              <w:bottom w:val="single" w:sz="8" w:space="0" w:color="DDD9C3"/>
            </w:tcBorders>
            <w:shd w:val="clear" w:color="auto" w:fill="C4BC96" w:themeFill="background2" w:themeFillShade="BF"/>
            <w:textDirection w:val="btLr"/>
            <w:hideMark/>
          </w:tcPr>
          <w:p w:rsidR="0050700F" w:rsidRPr="00D35F3D" w:rsidRDefault="0050700F" w:rsidP="0050700F">
            <w:pPr>
              <w:ind w:left="113" w:right="113"/>
              <w:rPr>
                <w:rFonts w:ascii="Arial Narrow" w:hAnsi="Arial Narrow" w:cs="Calibri"/>
                <w:b/>
                <w:color w:val="FFFFFF" w:themeColor="background1"/>
                <w:sz w:val="18"/>
                <w:szCs w:val="18"/>
              </w:rPr>
            </w:pPr>
            <w:r w:rsidRPr="00D35F3D">
              <w:rPr>
                <w:rFonts w:ascii="Arial Narrow" w:hAnsi="Arial Narrow" w:cs="Calibri"/>
                <w:b/>
                <w:color w:val="FFFFFF" w:themeColor="background1"/>
                <w:sz w:val="18"/>
                <w:szCs w:val="18"/>
              </w:rPr>
              <w:t xml:space="preserve">Stock Model </w:t>
            </w:r>
          </w:p>
        </w:tc>
        <w:tc>
          <w:tcPr>
            <w:tcW w:w="430" w:type="pct"/>
            <w:tcBorders>
              <w:top w:val="single" w:sz="8" w:space="0" w:color="DDD9C3"/>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Historical Replacement Units Shipment in 2005</w:t>
            </w:r>
          </w:p>
        </w:tc>
        <w:tc>
          <w:tcPr>
            <w:tcW w:w="402" w:type="pct"/>
            <w:tcBorders>
              <w:top w:val="single" w:sz="8" w:space="0" w:color="DDD9C3"/>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Number of residential dishwashers shipped to region in 2005</w:t>
            </w:r>
          </w:p>
        </w:tc>
        <w:tc>
          <w:tcPr>
            <w:tcW w:w="310" w:type="pct"/>
            <w:tcBorders>
              <w:top w:val="single" w:sz="8" w:space="0" w:color="DDD9C3"/>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Not applicable </w:t>
            </w:r>
          </w:p>
        </w:tc>
        <w:tc>
          <w:tcPr>
            <w:tcW w:w="835" w:type="pct"/>
            <w:gridSpan w:val="2"/>
            <w:tcBorders>
              <w:top w:val="single" w:sz="8" w:space="0" w:color="DDD9C3"/>
              <w:bottom w:val="single" w:sz="8" w:space="0" w:color="DDD9C3"/>
            </w:tcBorders>
            <w:shd w:val="clear" w:color="auto" w:fill="FFFF00"/>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Data from supply curve </w:t>
            </w:r>
          </w:p>
        </w:tc>
        <w:tc>
          <w:tcPr>
            <w:tcW w:w="896" w:type="pct"/>
            <w:gridSpan w:val="3"/>
            <w:tcBorders>
              <w:top w:val="single" w:sz="8" w:space="0" w:color="DDD9C3"/>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Not applicable </w:t>
            </w:r>
          </w:p>
        </w:tc>
        <w:tc>
          <w:tcPr>
            <w:tcW w:w="805" w:type="pct"/>
            <w:tcBorders>
              <w:top w:val="single" w:sz="8" w:space="0" w:color="DDD9C3"/>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Regional numbers </w:t>
            </w:r>
          </w:p>
        </w:tc>
        <w:tc>
          <w:tcPr>
            <w:tcW w:w="1158" w:type="pct"/>
            <w:tcBorders>
              <w:top w:val="single" w:sz="8" w:space="0" w:color="DDD9C3"/>
              <w:bottom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PNW Residential Sector Load Forecast Copied from PNWResSectorSupplyCurveUnits_6th_Fnl workbook</w:t>
            </w:r>
          </w:p>
        </w:tc>
      </w:tr>
      <w:tr w:rsidR="0050700F" w:rsidRPr="00D35F3D" w:rsidTr="0050700F">
        <w:trPr>
          <w:trHeight w:val="675"/>
        </w:trPr>
        <w:tc>
          <w:tcPr>
            <w:cnfStyle w:val="001000000000" w:firstRow="0" w:lastRow="0" w:firstColumn="1" w:lastColumn="0" w:oddVBand="0" w:evenVBand="0" w:oddHBand="0" w:evenHBand="0" w:firstRowFirstColumn="0" w:firstRowLastColumn="0" w:lastRowFirstColumn="0" w:lastRowLastColumn="0"/>
            <w:tcW w:w="164" w:type="pct"/>
            <w:vMerge/>
            <w:tcBorders>
              <w:top w:val="single" w:sz="8" w:space="0" w:color="DDD9C3"/>
            </w:tcBorders>
            <w:shd w:val="clear" w:color="auto" w:fill="C4BC96" w:themeFill="background2" w:themeFillShade="BF"/>
            <w:textDirection w:val="btLr"/>
            <w:hideMark/>
          </w:tcPr>
          <w:p w:rsidR="0050700F" w:rsidRPr="00D35F3D" w:rsidRDefault="0050700F" w:rsidP="0050700F">
            <w:pPr>
              <w:ind w:left="113" w:right="113"/>
              <w:rPr>
                <w:rFonts w:ascii="Arial Narrow" w:hAnsi="Arial Narrow" w:cs="Calibri"/>
                <w:color w:val="000000"/>
                <w:sz w:val="18"/>
                <w:szCs w:val="18"/>
              </w:rPr>
            </w:pPr>
          </w:p>
        </w:tc>
        <w:tc>
          <w:tcPr>
            <w:tcW w:w="430" w:type="pct"/>
            <w:tcBorders>
              <w:top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New Construction forecast </w:t>
            </w:r>
          </w:p>
        </w:tc>
        <w:tc>
          <w:tcPr>
            <w:tcW w:w="402" w:type="pct"/>
            <w:tcBorders>
              <w:top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New construction forecast from 2005-2030</w:t>
            </w:r>
          </w:p>
        </w:tc>
        <w:tc>
          <w:tcPr>
            <w:tcW w:w="310" w:type="pct"/>
            <w:tcBorders>
              <w:top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Not applicable </w:t>
            </w:r>
          </w:p>
        </w:tc>
        <w:tc>
          <w:tcPr>
            <w:tcW w:w="835" w:type="pct"/>
            <w:gridSpan w:val="2"/>
            <w:tcBorders>
              <w:top w:val="single" w:sz="8" w:space="0" w:color="DDD9C3"/>
            </w:tcBorders>
            <w:shd w:val="clear" w:color="auto" w:fill="FFFF00"/>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Data from supply curve </w:t>
            </w:r>
          </w:p>
        </w:tc>
        <w:tc>
          <w:tcPr>
            <w:tcW w:w="896" w:type="pct"/>
            <w:gridSpan w:val="3"/>
            <w:tcBorders>
              <w:top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Not applicable </w:t>
            </w:r>
          </w:p>
        </w:tc>
        <w:tc>
          <w:tcPr>
            <w:tcW w:w="805" w:type="pct"/>
            <w:tcBorders>
              <w:top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Regional numbers </w:t>
            </w:r>
          </w:p>
        </w:tc>
        <w:tc>
          <w:tcPr>
            <w:tcW w:w="1158" w:type="pct"/>
            <w:tcBorders>
              <w:top w:val="single" w:sz="8" w:space="0" w:color="DDD9C3"/>
            </w:tcBorders>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PNW Residential Sector Load Forecast Copied from PNWResSectorSupplyCurveUnits_6th_Fnl workbook</w:t>
            </w:r>
          </w:p>
        </w:tc>
      </w:tr>
      <w:tr w:rsidR="0050700F" w:rsidRPr="00D35F3D" w:rsidTr="0050700F">
        <w:trPr>
          <w:trHeight w:val="2250"/>
        </w:trPr>
        <w:tc>
          <w:tcPr>
            <w:cnfStyle w:val="001000000000" w:firstRow="0" w:lastRow="0" w:firstColumn="1" w:lastColumn="0" w:oddVBand="0" w:evenVBand="0" w:oddHBand="0" w:evenHBand="0" w:firstRowFirstColumn="0" w:firstRowLastColumn="0" w:lastRowFirstColumn="0" w:lastRowLastColumn="0"/>
            <w:tcW w:w="164" w:type="pct"/>
            <w:vMerge/>
            <w:shd w:val="clear" w:color="auto" w:fill="C4BC96" w:themeFill="background2" w:themeFillShade="BF"/>
            <w:textDirection w:val="btLr"/>
            <w:hideMark/>
          </w:tcPr>
          <w:p w:rsidR="0050700F" w:rsidRPr="00D35F3D" w:rsidRDefault="0050700F" w:rsidP="0050700F">
            <w:pPr>
              <w:ind w:left="113" w:right="113"/>
              <w:rPr>
                <w:rFonts w:ascii="Arial Narrow" w:hAnsi="Arial Narrow" w:cs="Calibri"/>
                <w:color w:val="000000"/>
                <w:sz w:val="18"/>
                <w:szCs w:val="18"/>
              </w:rPr>
            </w:pPr>
          </w:p>
        </w:tc>
        <w:tc>
          <w:tcPr>
            <w:tcW w:w="430"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Product Lifetime</w:t>
            </w:r>
          </w:p>
        </w:tc>
        <w:tc>
          <w:tcPr>
            <w:tcW w:w="402"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Res Dishwasher Product Lifetime</w:t>
            </w:r>
          </w:p>
        </w:tc>
        <w:tc>
          <w:tcPr>
            <w:tcW w:w="372" w:type="pct"/>
            <w:gridSpan w:val="2"/>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Yes, different from DOE </w:t>
            </w:r>
          </w:p>
        </w:tc>
        <w:tc>
          <w:tcPr>
            <w:tcW w:w="773"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5P/6P: 9 </w:t>
            </w:r>
            <w:proofErr w:type="spellStart"/>
            <w:r w:rsidRPr="00D35F3D">
              <w:rPr>
                <w:rFonts w:ascii="Arial Narrow" w:hAnsi="Arial Narrow" w:cs="Calibri"/>
                <w:color w:val="000000"/>
                <w:sz w:val="18"/>
                <w:szCs w:val="18"/>
              </w:rPr>
              <w:t>yrs</w:t>
            </w:r>
            <w:proofErr w:type="spellEnd"/>
            <w:r w:rsidRPr="00D35F3D">
              <w:rPr>
                <w:rFonts w:ascii="Arial Narrow" w:hAnsi="Arial Narrow" w:cs="Calibri"/>
                <w:color w:val="000000"/>
                <w:sz w:val="18"/>
                <w:szCs w:val="18"/>
              </w:rPr>
              <w:br/>
              <w:t>RTF UES measure workbook: 15.43</w:t>
            </w:r>
          </w:p>
        </w:tc>
        <w:tc>
          <w:tcPr>
            <w:tcW w:w="834" w:type="pct"/>
            <w:gridSpan w:val="2"/>
            <w:shd w:val="clear" w:color="auto" w:fill="FFFF00"/>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15.43</w:t>
            </w:r>
          </w:p>
        </w:tc>
        <w:tc>
          <w:tcPr>
            <w:tcW w:w="867" w:type="pct"/>
            <w:gridSpan w:val="2"/>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ACEE commented that the residential dishwasher lifetime should be 11 years on average. DOE NIA uses a 15.43 years average lifetime value based on an analysis of residential dishwasher lifetimes in the field. RTF claims 9 years from assumption in "PNWResSectorSupplyCurveUnits_6th_Fnl" workbook. Using DOE value as it is more current and has been updated to 15.43 years in the TSD based on field research. </w:t>
            </w:r>
          </w:p>
        </w:tc>
        <w:tc>
          <w:tcPr>
            <w:tcW w:w="1158" w:type="pct"/>
            <w:hideMark/>
          </w:tcPr>
          <w:p w:rsidR="0050700F" w:rsidRPr="00D35F3D" w:rsidRDefault="00FE2DDE"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hyperlink r:id="rId7" w:history="1">
              <w:r w:rsidR="0050700F" w:rsidRPr="00D35F3D">
                <w:rPr>
                  <w:rFonts w:ascii="Arial Narrow" w:hAnsi="Arial Narrow" w:cs="Calibri"/>
                  <w:sz w:val="18"/>
                  <w:szCs w:val="18"/>
                </w:rPr>
                <w:t>DOE source: https://www.federalregister.gov/articles/2012/10/01/2012-23953/energy-conservation-program-energy-conservation-standards-for-dishwashers</w:t>
              </w:r>
            </w:hyperlink>
          </w:p>
        </w:tc>
      </w:tr>
      <w:tr w:rsidR="0050700F" w:rsidRPr="00D35F3D" w:rsidTr="0050700F">
        <w:trPr>
          <w:trHeight w:val="1575"/>
        </w:trPr>
        <w:tc>
          <w:tcPr>
            <w:cnfStyle w:val="001000000000" w:firstRow="0" w:lastRow="0" w:firstColumn="1" w:lastColumn="0" w:oddVBand="0" w:evenVBand="0" w:oddHBand="0" w:evenHBand="0" w:firstRowFirstColumn="0" w:firstRowLastColumn="0" w:lastRowFirstColumn="0" w:lastRowLastColumn="0"/>
            <w:tcW w:w="164" w:type="pct"/>
            <w:vMerge/>
            <w:shd w:val="clear" w:color="auto" w:fill="C4BC96" w:themeFill="background2" w:themeFillShade="BF"/>
            <w:textDirection w:val="btLr"/>
            <w:hideMark/>
          </w:tcPr>
          <w:p w:rsidR="0050700F" w:rsidRPr="00D35F3D" w:rsidRDefault="0050700F" w:rsidP="0050700F">
            <w:pPr>
              <w:ind w:left="113" w:right="113"/>
              <w:rPr>
                <w:rFonts w:ascii="Arial Narrow" w:hAnsi="Arial Narrow" w:cs="Calibri"/>
                <w:color w:val="000000"/>
                <w:sz w:val="18"/>
                <w:szCs w:val="18"/>
              </w:rPr>
            </w:pPr>
          </w:p>
        </w:tc>
        <w:tc>
          <w:tcPr>
            <w:tcW w:w="430"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Turnover assumption </w:t>
            </w:r>
          </w:p>
        </w:tc>
        <w:tc>
          <w:tcPr>
            <w:tcW w:w="402"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Product retirement rate </w:t>
            </w:r>
          </w:p>
        </w:tc>
        <w:tc>
          <w:tcPr>
            <w:tcW w:w="372" w:type="pct"/>
            <w:gridSpan w:val="2"/>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Yes, different from DOE </w:t>
            </w:r>
          </w:p>
        </w:tc>
        <w:tc>
          <w:tcPr>
            <w:tcW w:w="773" w:type="pct"/>
            <w:shd w:val="clear" w:color="auto" w:fill="FFFF00"/>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1/lif</w:t>
            </w:r>
            <w:r w:rsidRPr="00D35F3D">
              <w:rPr>
                <w:rFonts w:ascii="Arial Narrow" w:hAnsi="Arial Narrow" w:cs="Calibri"/>
                <w:color w:val="000000"/>
                <w:sz w:val="18"/>
                <w:szCs w:val="18"/>
                <w:shd w:val="clear" w:color="auto" w:fill="FFFF00"/>
              </w:rPr>
              <w:t xml:space="preserve">etime </w:t>
            </w:r>
          </w:p>
        </w:tc>
        <w:tc>
          <w:tcPr>
            <w:tcW w:w="834" w:type="pct"/>
            <w:gridSpan w:val="2"/>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Estimated using survey results from RECS and the U.S. Census American Housing Survey along with historic data on appliance shipments. Survival function (Variability characterized using </w:t>
            </w:r>
            <w:proofErr w:type="spellStart"/>
            <w:r w:rsidRPr="00D35F3D">
              <w:rPr>
                <w:rFonts w:ascii="Arial Narrow" w:hAnsi="Arial Narrow" w:cs="Calibri"/>
                <w:color w:val="000000"/>
                <w:sz w:val="18"/>
                <w:szCs w:val="18"/>
              </w:rPr>
              <w:t>Weibull</w:t>
            </w:r>
            <w:proofErr w:type="spellEnd"/>
            <w:r w:rsidRPr="00D35F3D">
              <w:rPr>
                <w:rFonts w:ascii="Arial Narrow" w:hAnsi="Arial Narrow" w:cs="Calibri"/>
                <w:color w:val="000000"/>
                <w:sz w:val="18"/>
                <w:szCs w:val="18"/>
              </w:rPr>
              <w:t xml:space="preserve"> probability distribution)</w:t>
            </w:r>
          </w:p>
        </w:tc>
        <w:tc>
          <w:tcPr>
            <w:tcW w:w="867" w:type="pct"/>
            <w:gridSpan w:val="2"/>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 xml:space="preserve">The 1/lifetime assumption is consistent with the council's modeling practice. However, we can consider using survival functions. </w:t>
            </w:r>
          </w:p>
        </w:tc>
        <w:tc>
          <w:tcPr>
            <w:tcW w:w="1158" w:type="pct"/>
            <w:hideMark/>
          </w:tcPr>
          <w:p w:rsidR="0050700F" w:rsidRPr="00D35F3D" w:rsidRDefault="0050700F" w:rsidP="0050700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35F3D">
              <w:rPr>
                <w:rFonts w:ascii="Arial Narrow" w:hAnsi="Arial Narrow" w:cs="Calibri"/>
                <w:color w:val="000000"/>
                <w:sz w:val="18"/>
                <w:szCs w:val="18"/>
              </w:rPr>
              <w:t>PNW Residential Sector Load Forecast Copied from PNWResSectorSupplyCurveUnits_6th_Fnl workbook</w:t>
            </w:r>
            <w:r w:rsidRPr="00D35F3D">
              <w:rPr>
                <w:rFonts w:ascii="Arial Narrow" w:hAnsi="Arial Narrow" w:cs="Calibri"/>
                <w:color w:val="000000"/>
                <w:sz w:val="18"/>
                <w:szCs w:val="18"/>
              </w:rPr>
              <w:br/>
              <w:t>http://www1.eere.energy.gov/buildings/appliance_standards/pdfs/dw_direct_final_rule_5_14_2012.pdf</w:t>
            </w:r>
          </w:p>
        </w:tc>
      </w:tr>
    </w:tbl>
    <w:p w:rsidR="0050700F" w:rsidRPr="0050700F" w:rsidRDefault="0050700F" w:rsidP="00090EBA">
      <w:pPr>
        <w:ind w:right="113"/>
        <w:rPr>
          <w:rFonts w:ascii="Arial Narrow" w:hAnsi="Arial Narrow" w:cs="Calibri"/>
          <w:sz w:val="18"/>
          <w:szCs w:val="18"/>
        </w:rPr>
        <w:sectPr w:rsidR="0050700F" w:rsidRPr="0050700F" w:rsidSect="0050700F">
          <w:pgSz w:w="15840" w:h="12240" w:orient="landscape"/>
          <w:pgMar w:top="1440" w:right="1440" w:bottom="1440" w:left="1440" w:header="720" w:footer="720" w:gutter="0"/>
          <w:cols w:space="720"/>
          <w:docGrid w:linePitch="360"/>
        </w:sectPr>
      </w:pPr>
    </w:p>
    <w:p w:rsidR="008353DE" w:rsidRPr="008353DE" w:rsidRDefault="008353DE">
      <w:pPr>
        <w:rPr>
          <w:b/>
        </w:rPr>
      </w:pPr>
    </w:p>
    <w:sectPr w:rsidR="008353DE" w:rsidRPr="008353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266" w:rsidRDefault="00E74266" w:rsidP="009F03AF">
      <w:r>
        <w:separator/>
      </w:r>
    </w:p>
  </w:endnote>
  <w:endnote w:type="continuationSeparator" w:id="0">
    <w:p w:rsidR="00E74266" w:rsidRDefault="00E74266" w:rsidP="009F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266" w:rsidRDefault="00E74266" w:rsidP="009F03AF">
      <w:r>
        <w:separator/>
      </w:r>
    </w:p>
  </w:footnote>
  <w:footnote w:type="continuationSeparator" w:id="0">
    <w:p w:rsidR="00E74266" w:rsidRDefault="00E74266" w:rsidP="009F0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3AF"/>
    <w:rsid w:val="00036952"/>
    <w:rsid w:val="00050F78"/>
    <w:rsid w:val="000738D4"/>
    <w:rsid w:val="00090899"/>
    <w:rsid w:val="00090EBA"/>
    <w:rsid w:val="000F1EF7"/>
    <w:rsid w:val="00130BF0"/>
    <w:rsid w:val="001378B4"/>
    <w:rsid w:val="00223A8F"/>
    <w:rsid w:val="002A67AB"/>
    <w:rsid w:val="003B1A2B"/>
    <w:rsid w:val="003D6C6C"/>
    <w:rsid w:val="0044064A"/>
    <w:rsid w:val="0050700F"/>
    <w:rsid w:val="0064132C"/>
    <w:rsid w:val="007F494F"/>
    <w:rsid w:val="008353DE"/>
    <w:rsid w:val="00963BE0"/>
    <w:rsid w:val="009F03AF"/>
    <w:rsid w:val="00A177F6"/>
    <w:rsid w:val="00AB32A8"/>
    <w:rsid w:val="00BD19E0"/>
    <w:rsid w:val="00CA1FB8"/>
    <w:rsid w:val="00D057B0"/>
    <w:rsid w:val="00D56FEC"/>
    <w:rsid w:val="00DC364C"/>
    <w:rsid w:val="00DD5D3C"/>
    <w:rsid w:val="00DE0AF0"/>
    <w:rsid w:val="00E74266"/>
    <w:rsid w:val="00EA0E26"/>
    <w:rsid w:val="00F1302E"/>
    <w:rsid w:val="00FB24C9"/>
    <w:rsid w:val="00FE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3AF"/>
    <w:pPr>
      <w:spacing w:after="0" w:line="240" w:lineRule="auto"/>
    </w:pPr>
    <w:rPr>
      <w:rFonts w:ascii="Palatino Linotype" w:eastAsia="Times New Roman" w:hAnsi="Palatino Linotype"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0F1EF7"/>
    <w:pPr>
      <w:spacing w:after="0" w:line="240" w:lineRule="auto"/>
    </w:pPr>
    <w:tblPr>
      <w:tblInd w:w="0" w:type="dxa"/>
      <w:tblCellMar>
        <w:top w:w="0" w:type="dxa"/>
        <w:left w:w="108" w:type="dxa"/>
        <w:bottom w:w="0" w:type="dxa"/>
        <w:right w:w="108" w:type="dxa"/>
      </w:tblCellMar>
    </w:tblPr>
  </w:style>
  <w:style w:type="table" w:customStyle="1" w:styleId="EnergyTable">
    <w:name w:val="Energy Table"/>
    <w:basedOn w:val="TableNormal"/>
    <w:uiPriority w:val="99"/>
    <w:qFormat/>
    <w:rsid w:val="000F1EF7"/>
    <w:pPr>
      <w:spacing w:after="0" w:line="240" w:lineRule="auto"/>
    </w:pPr>
    <w:rPr>
      <w:rFonts w:ascii="Palatino Linotype" w:eastAsia="Times New Roman" w:hAnsi="Palatino Linotype" w:cs="Times New Roman"/>
      <w:sz w:val="20"/>
      <w:szCs w:val="20"/>
    </w:rPr>
    <w:tblPr>
      <w:tblStyleRowBandSize w:val="1"/>
      <w:jc w:val="center"/>
      <w:tblInd w:w="0" w:type="dxa"/>
      <w:tblBorders>
        <w:top w:val="single" w:sz="8" w:space="0" w:color="DDD9C3"/>
        <w:bottom w:val="single" w:sz="8" w:space="0" w:color="92876D"/>
        <w:insideH w:val="single" w:sz="8" w:space="0" w:color="DDD9C3"/>
      </w:tblBorders>
      <w:tblCellMar>
        <w:top w:w="0" w:type="dxa"/>
        <w:left w:w="108" w:type="dxa"/>
        <w:bottom w:w="0" w:type="dxa"/>
        <w:right w:w="108" w:type="dxa"/>
      </w:tblCellMar>
    </w:tblPr>
    <w:trPr>
      <w:cantSplit/>
      <w:jc w:val="center"/>
    </w:trPr>
    <w:tblStylePr w:type="firstRow">
      <w:rPr>
        <w:rFonts w:ascii="Palatino Linotype" w:hAnsi="Palatino Linotype"/>
        <w:b/>
        <w:color w:val="FFFFFF" w:themeColor="background1"/>
      </w:rPr>
      <w:tblPr/>
      <w:tcPr>
        <w:shd w:val="clear" w:color="auto" w:fill="92876D"/>
      </w:tcPr>
    </w:tblStylePr>
    <w:tblStylePr w:type="lastRow">
      <w:tblPr/>
      <w:tcPr>
        <w:tcBorders>
          <w:top w:val="double" w:sz="4" w:space="0" w:color="92876D"/>
        </w:tcBorders>
      </w:tcPr>
    </w:tblStylePr>
    <w:tblStylePr w:type="firstCol">
      <w:rPr>
        <w:rFonts w:ascii="Palatino Linotype" w:hAnsi="Palatino Linotype"/>
        <w:b w:val="0"/>
        <w:color w:val="auto"/>
      </w:rPr>
    </w:tblStylePr>
    <w:tblStylePr w:type="band2Horz">
      <w:tblPr/>
      <w:tcPr>
        <w:shd w:val="clear" w:color="auto" w:fill="DDD9C3"/>
      </w:tcPr>
    </w:tblStylePr>
  </w:style>
  <w:style w:type="character" w:styleId="FootnoteReference">
    <w:name w:val="footnote reference"/>
    <w:basedOn w:val="DefaultParagraphFont"/>
    <w:uiPriority w:val="99"/>
    <w:semiHidden/>
    <w:rsid w:val="009F03AF"/>
    <w:rPr>
      <w:vertAlign w:val="superscript"/>
    </w:rPr>
  </w:style>
  <w:style w:type="paragraph" w:styleId="Caption">
    <w:name w:val="caption"/>
    <w:basedOn w:val="Normal"/>
    <w:next w:val="Normal"/>
    <w:link w:val="CaptionChar"/>
    <w:qFormat/>
    <w:rsid w:val="009F03AF"/>
    <w:pPr>
      <w:keepNext/>
      <w:spacing w:after="120"/>
      <w:jc w:val="center"/>
    </w:pPr>
    <w:rPr>
      <w:b/>
      <w:bCs/>
      <w:color w:val="993300"/>
      <w:szCs w:val="20"/>
    </w:rPr>
  </w:style>
  <w:style w:type="character" w:customStyle="1" w:styleId="CaptionChar">
    <w:name w:val="Caption Char"/>
    <w:basedOn w:val="DefaultParagraphFont"/>
    <w:link w:val="Caption"/>
    <w:rsid w:val="009F03AF"/>
    <w:rPr>
      <w:rFonts w:ascii="Palatino Linotype" w:eastAsia="Times New Roman" w:hAnsi="Palatino Linotype" w:cs="Times New Roman"/>
      <w:b/>
      <w:bCs/>
      <w:color w:val="993300"/>
      <w:sz w:val="20"/>
      <w:szCs w:val="20"/>
    </w:rPr>
  </w:style>
  <w:style w:type="paragraph" w:styleId="BalloonText">
    <w:name w:val="Balloon Text"/>
    <w:basedOn w:val="Normal"/>
    <w:link w:val="BalloonTextChar"/>
    <w:uiPriority w:val="99"/>
    <w:semiHidden/>
    <w:unhideWhenUsed/>
    <w:rsid w:val="008353DE"/>
    <w:rPr>
      <w:rFonts w:ascii="Tahoma" w:hAnsi="Tahoma" w:cs="Tahoma"/>
      <w:sz w:val="16"/>
      <w:szCs w:val="16"/>
    </w:rPr>
  </w:style>
  <w:style w:type="character" w:customStyle="1" w:styleId="BalloonTextChar">
    <w:name w:val="Balloon Text Char"/>
    <w:basedOn w:val="DefaultParagraphFont"/>
    <w:link w:val="BalloonText"/>
    <w:uiPriority w:val="99"/>
    <w:semiHidden/>
    <w:rsid w:val="008353D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3AF"/>
    <w:pPr>
      <w:spacing w:after="0" w:line="240" w:lineRule="auto"/>
    </w:pPr>
    <w:rPr>
      <w:rFonts w:ascii="Palatino Linotype" w:eastAsia="Times New Roman" w:hAnsi="Palatino Linotype"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0F1EF7"/>
    <w:pPr>
      <w:spacing w:after="0" w:line="240" w:lineRule="auto"/>
    </w:pPr>
    <w:tblPr>
      <w:tblInd w:w="0" w:type="dxa"/>
      <w:tblCellMar>
        <w:top w:w="0" w:type="dxa"/>
        <w:left w:w="108" w:type="dxa"/>
        <w:bottom w:w="0" w:type="dxa"/>
        <w:right w:w="108" w:type="dxa"/>
      </w:tblCellMar>
    </w:tblPr>
  </w:style>
  <w:style w:type="table" w:customStyle="1" w:styleId="EnergyTable">
    <w:name w:val="Energy Table"/>
    <w:basedOn w:val="TableNormal"/>
    <w:uiPriority w:val="99"/>
    <w:qFormat/>
    <w:rsid w:val="000F1EF7"/>
    <w:pPr>
      <w:spacing w:after="0" w:line="240" w:lineRule="auto"/>
    </w:pPr>
    <w:rPr>
      <w:rFonts w:ascii="Palatino Linotype" w:eastAsia="Times New Roman" w:hAnsi="Palatino Linotype" w:cs="Times New Roman"/>
      <w:sz w:val="20"/>
      <w:szCs w:val="20"/>
    </w:rPr>
    <w:tblPr>
      <w:tblStyleRowBandSize w:val="1"/>
      <w:jc w:val="center"/>
      <w:tblInd w:w="0" w:type="dxa"/>
      <w:tblBorders>
        <w:top w:val="single" w:sz="8" w:space="0" w:color="DDD9C3"/>
        <w:bottom w:val="single" w:sz="8" w:space="0" w:color="92876D"/>
        <w:insideH w:val="single" w:sz="8" w:space="0" w:color="DDD9C3"/>
      </w:tblBorders>
      <w:tblCellMar>
        <w:top w:w="0" w:type="dxa"/>
        <w:left w:w="108" w:type="dxa"/>
        <w:bottom w:w="0" w:type="dxa"/>
        <w:right w:w="108" w:type="dxa"/>
      </w:tblCellMar>
    </w:tblPr>
    <w:trPr>
      <w:cantSplit/>
      <w:jc w:val="center"/>
    </w:trPr>
    <w:tblStylePr w:type="firstRow">
      <w:rPr>
        <w:rFonts w:ascii="Palatino Linotype" w:hAnsi="Palatino Linotype"/>
        <w:b/>
        <w:color w:val="FFFFFF" w:themeColor="background1"/>
      </w:rPr>
      <w:tblPr/>
      <w:tcPr>
        <w:shd w:val="clear" w:color="auto" w:fill="92876D"/>
      </w:tcPr>
    </w:tblStylePr>
    <w:tblStylePr w:type="lastRow">
      <w:tblPr/>
      <w:tcPr>
        <w:tcBorders>
          <w:top w:val="double" w:sz="4" w:space="0" w:color="92876D"/>
        </w:tcBorders>
      </w:tcPr>
    </w:tblStylePr>
    <w:tblStylePr w:type="firstCol">
      <w:rPr>
        <w:rFonts w:ascii="Palatino Linotype" w:hAnsi="Palatino Linotype"/>
        <w:b w:val="0"/>
        <w:color w:val="auto"/>
      </w:rPr>
    </w:tblStylePr>
    <w:tblStylePr w:type="band2Horz">
      <w:tblPr/>
      <w:tcPr>
        <w:shd w:val="clear" w:color="auto" w:fill="DDD9C3"/>
      </w:tcPr>
    </w:tblStylePr>
  </w:style>
  <w:style w:type="character" w:styleId="FootnoteReference">
    <w:name w:val="footnote reference"/>
    <w:basedOn w:val="DefaultParagraphFont"/>
    <w:uiPriority w:val="99"/>
    <w:semiHidden/>
    <w:rsid w:val="009F03AF"/>
    <w:rPr>
      <w:vertAlign w:val="superscript"/>
    </w:rPr>
  </w:style>
  <w:style w:type="paragraph" w:styleId="Caption">
    <w:name w:val="caption"/>
    <w:basedOn w:val="Normal"/>
    <w:next w:val="Normal"/>
    <w:link w:val="CaptionChar"/>
    <w:qFormat/>
    <w:rsid w:val="009F03AF"/>
    <w:pPr>
      <w:keepNext/>
      <w:spacing w:after="120"/>
      <w:jc w:val="center"/>
    </w:pPr>
    <w:rPr>
      <w:b/>
      <w:bCs/>
      <w:color w:val="993300"/>
      <w:szCs w:val="20"/>
    </w:rPr>
  </w:style>
  <w:style w:type="character" w:customStyle="1" w:styleId="CaptionChar">
    <w:name w:val="Caption Char"/>
    <w:basedOn w:val="DefaultParagraphFont"/>
    <w:link w:val="Caption"/>
    <w:rsid w:val="009F03AF"/>
    <w:rPr>
      <w:rFonts w:ascii="Palatino Linotype" w:eastAsia="Times New Roman" w:hAnsi="Palatino Linotype" w:cs="Times New Roman"/>
      <w:b/>
      <w:bCs/>
      <w:color w:val="993300"/>
      <w:sz w:val="20"/>
      <w:szCs w:val="20"/>
    </w:rPr>
  </w:style>
  <w:style w:type="paragraph" w:styleId="BalloonText">
    <w:name w:val="Balloon Text"/>
    <w:basedOn w:val="Normal"/>
    <w:link w:val="BalloonTextChar"/>
    <w:uiPriority w:val="99"/>
    <w:semiHidden/>
    <w:unhideWhenUsed/>
    <w:rsid w:val="008353DE"/>
    <w:rPr>
      <w:rFonts w:ascii="Tahoma" w:hAnsi="Tahoma" w:cs="Tahoma"/>
      <w:sz w:val="16"/>
      <w:szCs w:val="16"/>
    </w:rPr>
  </w:style>
  <w:style w:type="character" w:customStyle="1" w:styleId="BalloonTextChar">
    <w:name w:val="Balloon Text Char"/>
    <w:basedOn w:val="DefaultParagraphFont"/>
    <w:link w:val="BalloonText"/>
    <w:uiPriority w:val="99"/>
    <w:semiHidden/>
    <w:rsid w:val="008353D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deralregister.gov/articles/2012/10/01/2012-23953/energy-conservation-program-energy-conservation-standards-for-dishwasher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1973</Words>
  <Characters>11248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Navigant</Company>
  <LinksUpToDate>false</LinksUpToDate>
  <CharactersWithSpaces>13195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Lee</dc:creator>
  <cp:lastModifiedBy>Carrie Cobb</cp:lastModifiedBy>
  <cp:revision>2</cp:revision>
  <dcterms:created xsi:type="dcterms:W3CDTF">2014-06-03T17:39:00Z</dcterms:created>
  <dcterms:modified xsi:type="dcterms:W3CDTF">2014-06-03T17:39:00Z</dcterms:modified>
</cp:coreProperties>
</file>