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0C8" w:rsidRDefault="00232963">
      <w:r>
        <w:t>RTF PAC Comments:  Bruce Folsom 9/15/2011</w:t>
      </w:r>
    </w:p>
    <w:p w:rsidR="00232963" w:rsidRDefault="00232963"/>
    <w:p w:rsidR="00232963" w:rsidRDefault="00232963" w:rsidP="00232963">
      <w:pPr>
        <w:pStyle w:val="NormalWeb"/>
      </w:pPr>
      <w:r>
        <w:rPr>
          <w:rFonts w:ascii="Calibri" w:hAnsi="Calibri" w:cs="Calibri"/>
        </w:rPr>
        <w:t>At the RTF Policy Advisory Committee Meeting of July 28</w:t>
      </w:r>
      <w:r>
        <w:rPr>
          <w:rFonts w:ascii="Calibri" w:hAnsi="Calibri" w:cs="Calibri"/>
          <w:vertAlign w:val="superscript"/>
        </w:rPr>
        <w:t>th</w:t>
      </w:r>
      <w:r>
        <w:rPr>
          <w:rFonts w:ascii="Calibri" w:hAnsi="Calibri" w:cs="Calibri"/>
        </w:rPr>
        <w:t>, we were asked to</w:t>
      </w:r>
      <w:r>
        <w:t xml:space="preserve"> </w:t>
      </w:r>
      <w:r>
        <w:rPr>
          <w:rFonts w:ascii="Calibri" w:hAnsi="Calibri" w:cs="Calibri"/>
          <w:color w:val="1F497D"/>
        </w:rPr>
        <w:t>provide</w:t>
      </w:r>
      <w:r>
        <w:rPr>
          <w:rFonts w:ascii="Calibri" w:hAnsi="Calibri" w:cs="Calibri"/>
        </w:rPr>
        <w:t xml:space="preserve"> comments to you on the “Key RTF Policy Issues” and budget allocations. </w:t>
      </w:r>
      <w:r>
        <w:t xml:space="preserve"> </w:t>
      </w:r>
    </w:p>
    <w:p w:rsidR="00232963" w:rsidRDefault="00232963" w:rsidP="00232963">
      <w:pPr>
        <w:pStyle w:val="NormalWeb"/>
      </w:pPr>
      <w:r>
        <w:rPr>
          <w:rFonts w:ascii="Calibri" w:hAnsi="Calibri" w:cs="Calibri"/>
        </w:rPr>
        <w:t xml:space="preserve">The four policy issues are as follows, with an additional three (disposition of renewable, program evaluation, and low-income programs) held for future resolution.  </w:t>
      </w:r>
    </w:p>
    <w:p w:rsidR="00232963" w:rsidRDefault="00232963" w:rsidP="00232963">
      <w:pPr>
        <w:pStyle w:val="NormalWeb"/>
      </w:pPr>
      <w:r>
        <w:rPr>
          <w:rFonts w:ascii="Calibri" w:hAnsi="Calibri" w:cs="Calibri"/>
        </w:rPr>
        <w:t>1)     </w:t>
      </w:r>
      <w:r>
        <w:t xml:space="preserve"> </w:t>
      </w:r>
      <w:r>
        <w:rPr>
          <w:rFonts w:ascii="Calibri" w:hAnsi="Calibri" w:cs="Calibri"/>
        </w:rPr>
        <w:t>Regional savings reporting</w:t>
      </w:r>
    </w:p>
    <w:p w:rsidR="00232963" w:rsidRDefault="00232963" w:rsidP="00232963">
      <w:pPr>
        <w:pStyle w:val="NormalWeb"/>
      </w:pPr>
      <w:r>
        <w:rPr>
          <w:rFonts w:ascii="Calibri" w:hAnsi="Calibri" w:cs="Calibri"/>
        </w:rPr>
        <w:t>2)     </w:t>
      </w:r>
      <w:r>
        <w:t xml:space="preserve"> </w:t>
      </w:r>
      <w:r>
        <w:rPr>
          <w:rFonts w:ascii="Calibri" w:hAnsi="Calibri" w:cs="Calibri"/>
        </w:rPr>
        <w:t>RTF role in research funding</w:t>
      </w:r>
    </w:p>
    <w:p w:rsidR="00232963" w:rsidRDefault="00232963" w:rsidP="00232963">
      <w:pPr>
        <w:pStyle w:val="NormalWeb"/>
      </w:pPr>
      <w:r>
        <w:rPr>
          <w:rFonts w:ascii="Calibri" w:hAnsi="Calibri" w:cs="Calibri"/>
        </w:rPr>
        <w:t>3)     </w:t>
      </w:r>
      <w:r>
        <w:t xml:space="preserve"> </w:t>
      </w:r>
      <w:r>
        <w:rPr>
          <w:rFonts w:ascii="Calibri" w:hAnsi="Calibri" w:cs="Calibri"/>
        </w:rPr>
        <w:t>RTF review of impact evaluation</w:t>
      </w:r>
    </w:p>
    <w:p w:rsidR="00232963" w:rsidRDefault="00232963" w:rsidP="00232963">
      <w:pPr>
        <w:pStyle w:val="NormalWeb"/>
      </w:pPr>
      <w:r>
        <w:rPr>
          <w:rFonts w:ascii="Calibri" w:hAnsi="Calibri" w:cs="Calibri"/>
        </w:rPr>
        <w:t>4)     </w:t>
      </w:r>
      <w:r>
        <w:t xml:space="preserve"> </w:t>
      </w:r>
      <w:r>
        <w:rPr>
          <w:rFonts w:ascii="Calibri" w:hAnsi="Calibri" w:cs="Calibri"/>
        </w:rPr>
        <w:t xml:space="preserve">Process for addressing measures found out of compliance with the guidelines </w:t>
      </w:r>
    </w:p>
    <w:p w:rsidR="00232963" w:rsidRDefault="00232963" w:rsidP="00232963">
      <w:pPr>
        <w:pStyle w:val="NormalWeb"/>
      </w:pPr>
      <w:r>
        <w:rPr>
          <w:rFonts w:ascii="Calibri" w:hAnsi="Calibri" w:cs="Calibri"/>
        </w:rPr>
        <w:t>We want to be clear on</w:t>
      </w:r>
      <w:r>
        <w:t xml:space="preserve"> </w:t>
      </w:r>
      <w:r>
        <w:rPr>
          <w:rFonts w:ascii="Calibri" w:hAnsi="Calibri" w:cs="Calibri"/>
        </w:rPr>
        <w:t>the</w:t>
      </w:r>
      <w:r>
        <w:t xml:space="preserve"> </w:t>
      </w:r>
      <w:r>
        <w:rPr>
          <w:rFonts w:ascii="Calibri" w:hAnsi="Calibri" w:cs="Calibri"/>
        </w:rPr>
        <w:t>applicability and definitions for</w:t>
      </w:r>
      <w:r>
        <w:t xml:space="preserve"> </w:t>
      </w:r>
      <w:r>
        <w:rPr>
          <w:rFonts w:ascii="Calibri" w:hAnsi="Calibri" w:cs="Calibri"/>
        </w:rPr>
        <w:t>each of</w:t>
      </w:r>
      <w:r>
        <w:t xml:space="preserve"> </w:t>
      </w:r>
      <w:r>
        <w:rPr>
          <w:rFonts w:ascii="Calibri" w:hAnsi="Calibri" w:cs="Calibri"/>
        </w:rPr>
        <w:t>these. </w:t>
      </w:r>
      <w:r>
        <w:t xml:space="preserve"> </w:t>
      </w:r>
      <w:r>
        <w:rPr>
          <w:rFonts w:ascii="Calibri" w:hAnsi="Calibri" w:cs="Calibri"/>
        </w:rPr>
        <w:t>Regarding applicability for homogenous products</w:t>
      </w:r>
      <w:r>
        <w:t xml:space="preserve"> </w:t>
      </w:r>
      <w:r>
        <w:rPr>
          <w:rFonts w:ascii="Calibri" w:hAnsi="Calibri" w:cs="Calibri"/>
        </w:rPr>
        <w:t>with consistent end-use patterns (e.g., Energy Star® Refrigerators),</w:t>
      </w:r>
      <w:r>
        <w:t xml:space="preserve"> </w:t>
      </w:r>
      <w:r>
        <w:rPr>
          <w:rFonts w:ascii="Calibri" w:hAnsi="Calibri" w:cs="Calibri"/>
        </w:rPr>
        <w:t>the RTF has high value. </w:t>
      </w:r>
      <w:r>
        <w:t xml:space="preserve"> </w:t>
      </w:r>
      <w:r>
        <w:rPr>
          <w:rFonts w:ascii="Calibri" w:hAnsi="Calibri" w:cs="Calibri"/>
        </w:rPr>
        <w:t>Regional savings reporting (according to regional standards) defines the RTF for such measures. </w:t>
      </w:r>
      <w:r>
        <w:t xml:space="preserve"> </w:t>
      </w:r>
      <w:r>
        <w:rPr>
          <w:rFonts w:ascii="Calibri" w:hAnsi="Calibri" w:cs="Calibri"/>
        </w:rPr>
        <w:t>And</w:t>
      </w:r>
      <w:r>
        <w:t xml:space="preserve"> </w:t>
      </w:r>
      <w:r>
        <w:rPr>
          <w:rFonts w:ascii="Calibri" w:hAnsi="Calibri" w:cs="Calibri"/>
        </w:rPr>
        <w:t>Policy</w:t>
      </w:r>
      <w:r>
        <w:t xml:space="preserve"> </w:t>
      </w:r>
      <w:r>
        <w:rPr>
          <w:rFonts w:ascii="Calibri" w:hAnsi="Calibri" w:cs="Calibri"/>
        </w:rPr>
        <w:t>Issues 2-4 are relevant to this. </w:t>
      </w:r>
      <w:r>
        <w:t xml:space="preserve"> </w:t>
      </w:r>
      <w:r>
        <w:rPr>
          <w:rFonts w:ascii="Calibri" w:hAnsi="Calibri" w:cs="Calibri"/>
        </w:rPr>
        <w:t xml:space="preserve">The economies of scale achievable when evaluation work is </w:t>
      </w:r>
      <w:proofErr w:type="gramStart"/>
      <w:r>
        <w:rPr>
          <w:rFonts w:ascii="Calibri" w:hAnsi="Calibri" w:cs="Calibri"/>
        </w:rPr>
        <w:t>performed,</w:t>
      </w:r>
      <w:proofErr w:type="gramEnd"/>
      <w:r>
        <w:rPr>
          <w:rFonts w:ascii="Calibri" w:hAnsi="Calibri" w:cs="Calibri"/>
        </w:rPr>
        <w:t xml:space="preserve"> coordinated or shared at the regional level is compelling. To date the RTF has been a body that </w:t>
      </w:r>
      <w:proofErr w:type="gramStart"/>
      <w:r>
        <w:rPr>
          <w:rFonts w:ascii="Calibri" w:hAnsi="Calibri" w:cs="Calibri"/>
        </w:rPr>
        <w:t>collects,</w:t>
      </w:r>
      <w:proofErr w:type="gramEnd"/>
      <w:r>
        <w:rPr>
          <w:rFonts w:ascii="Calibri" w:hAnsi="Calibri" w:cs="Calibri"/>
        </w:rPr>
        <w:t xml:space="preserve"> funds and applies technical evaluations within the region.  The RTF serves as a library of regional and national evaluations and provides RTF-funded evaluation. </w:t>
      </w:r>
      <w:r>
        <w:t xml:space="preserve"> </w:t>
      </w:r>
      <w:r>
        <w:rPr>
          <w:rFonts w:ascii="Calibri" w:hAnsi="Calibri" w:cs="Calibri"/>
        </w:rPr>
        <w:t>Avista has been a supporter of the RTF</w:t>
      </w:r>
      <w:r>
        <w:t xml:space="preserve"> </w:t>
      </w:r>
      <w:r>
        <w:rPr>
          <w:rFonts w:ascii="Calibri" w:hAnsi="Calibri" w:cs="Calibri"/>
        </w:rPr>
        <w:t xml:space="preserve">and continues to advocate for regional consistency of energy efficiency evaluation.  </w:t>
      </w:r>
    </w:p>
    <w:p w:rsidR="00232963" w:rsidRDefault="00232963" w:rsidP="00232963">
      <w:pPr>
        <w:pStyle w:val="NormalWeb"/>
      </w:pPr>
      <w:r>
        <w:rPr>
          <w:rFonts w:ascii="Calibri" w:hAnsi="Calibri" w:cs="Calibri"/>
        </w:rPr>
        <w:t>However,</w:t>
      </w:r>
      <w:r>
        <w:t xml:space="preserve"> </w:t>
      </w:r>
      <w:r>
        <w:rPr>
          <w:rFonts w:ascii="Calibri" w:hAnsi="Calibri" w:cs="Calibri"/>
        </w:rPr>
        <w:t>there are two other significant portions of our portfolio that are not distinguished in this manner.  These include site-specific</w:t>
      </w:r>
      <w:r>
        <w:t xml:space="preserve"> </w:t>
      </w:r>
      <w:r>
        <w:rPr>
          <w:rFonts w:ascii="Calibri" w:hAnsi="Calibri" w:cs="Calibri"/>
        </w:rPr>
        <w:t>programs</w:t>
      </w:r>
      <w:r>
        <w:t xml:space="preserve"> </w:t>
      </w:r>
      <w:r>
        <w:rPr>
          <w:rFonts w:ascii="Calibri" w:hAnsi="Calibri" w:cs="Calibri"/>
        </w:rPr>
        <w:t>and</w:t>
      </w:r>
      <w:r>
        <w:t xml:space="preserve"> </w:t>
      </w:r>
      <w:r>
        <w:rPr>
          <w:rFonts w:ascii="Calibri" w:hAnsi="Calibri" w:cs="Calibri"/>
        </w:rPr>
        <w:t>programs marked by different</w:t>
      </w:r>
      <w:r>
        <w:t xml:space="preserve"> </w:t>
      </w:r>
      <w:r>
        <w:rPr>
          <w:rFonts w:ascii="Calibri" w:hAnsi="Calibri" w:cs="Calibri"/>
        </w:rPr>
        <w:t>delivery mechanisms</w:t>
      </w:r>
      <w:r>
        <w:t xml:space="preserve"> </w:t>
      </w:r>
      <w:r>
        <w:rPr>
          <w:rFonts w:ascii="Calibri" w:hAnsi="Calibri" w:cs="Calibri"/>
        </w:rPr>
        <w:t>that don’t allow one-to-one usage of stated UES (e.g., CFL distribution programs). </w:t>
      </w:r>
      <w:r>
        <w:t xml:space="preserve"> </w:t>
      </w:r>
      <w:r>
        <w:rPr>
          <w:rFonts w:ascii="Calibri" w:hAnsi="Calibri" w:cs="Calibri"/>
        </w:rPr>
        <w:t>So this suggests that the applicability and definitions for</w:t>
      </w:r>
      <w:r>
        <w:t xml:space="preserve"> </w:t>
      </w:r>
      <w:r>
        <w:rPr>
          <w:rFonts w:ascii="Calibri" w:hAnsi="Calibri" w:cs="Calibri"/>
        </w:rPr>
        <w:t>Policy</w:t>
      </w:r>
      <w:r>
        <w:t xml:space="preserve"> </w:t>
      </w:r>
      <w:r>
        <w:rPr>
          <w:rFonts w:ascii="Calibri" w:hAnsi="Calibri" w:cs="Calibri"/>
        </w:rPr>
        <w:t>Issues 2-4 need</w:t>
      </w:r>
      <w:proofErr w:type="gramStart"/>
      <w:r>
        <w:t xml:space="preserve">  </w:t>
      </w:r>
      <w:r>
        <w:rPr>
          <w:rFonts w:ascii="Calibri" w:hAnsi="Calibri" w:cs="Calibri"/>
        </w:rPr>
        <w:t>definition</w:t>
      </w:r>
      <w:proofErr w:type="gramEnd"/>
      <w:r>
        <w:rPr>
          <w:rFonts w:ascii="Calibri" w:hAnsi="Calibri" w:cs="Calibri"/>
        </w:rPr>
        <w:t>, elaboration and full discussion.</w:t>
      </w:r>
      <w:r>
        <w:t> </w:t>
      </w:r>
      <w:r>
        <w:rPr>
          <w:rFonts w:ascii="Calibri" w:hAnsi="Calibri" w:cs="Calibri"/>
        </w:rPr>
        <w:t xml:space="preserve"> </w:t>
      </w:r>
    </w:p>
    <w:p w:rsidR="00232963" w:rsidRDefault="00232963" w:rsidP="00232963">
      <w:pPr>
        <w:pStyle w:val="NormalWeb"/>
      </w:pPr>
      <w:r>
        <w:rPr>
          <w:rFonts w:ascii="Calibri" w:hAnsi="Calibri" w:cs="Calibri"/>
        </w:rPr>
        <w:t>For our site specific programs, we file impact evaluations</w:t>
      </w:r>
      <w:r>
        <w:t xml:space="preserve"> </w:t>
      </w:r>
      <w:r>
        <w:rPr>
          <w:rFonts w:ascii="Calibri" w:hAnsi="Calibri" w:cs="Calibri"/>
        </w:rPr>
        <w:t>(including stated compliance of RTF protocols by the evaluating entity with technical supporting documentation)</w:t>
      </w:r>
      <w:r>
        <w:t xml:space="preserve"> </w:t>
      </w:r>
      <w:r>
        <w:rPr>
          <w:rFonts w:ascii="Calibri" w:hAnsi="Calibri" w:cs="Calibri"/>
        </w:rPr>
        <w:t>with our respective Commissions.</w:t>
      </w:r>
      <w:r>
        <w:t> </w:t>
      </w:r>
      <w:r>
        <w:rPr>
          <w:rFonts w:ascii="Calibri" w:hAnsi="Calibri" w:cs="Calibri"/>
        </w:rPr>
        <w:t xml:space="preserve"> We don’t expect the RTF</w:t>
      </w:r>
      <w:r>
        <w:t xml:space="preserve"> </w:t>
      </w:r>
      <w:r>
        <w:rPr>
          <w:rFonts w:ascii="Calibri" w:hAnsi="Calibri" w:cs="Calibri"/>
        </w:rPr>
        <w:t>to</w:t>
      </w:r>
      <w:r>
        <w:t xml:space="preserve"> </w:t>
      </w:r>
      <w:r>
        <w:rPr>
          <w:rFonts w:ascii="Calibri" w:hAnsi="Calibri" w:cs="Calibri"/>
        </w:rPr>
        <w:t>re-review</w:t>
      </w:r>
      <w:r>
        <w:t xml:space="preserve"> </w:t>
      </w:r>
      <w:r>
        <w:rPr>
          <w:rFonts w:ascii="Calibri" w:hAnsi="Calibri" w:cs="Calibri"/>
        </w:rPr>
        <w:t>our work</w:t>
      </w:r>
      <w:r>
        <w:t xml:space="preserve"> </w:t>
      </w:r>
      <w:r>
        <w:rPr>
          <w:rFonts w:ascii="Calibri" w:hAnsi="Calibri" w:cs="Calibri"/>
        </w:rPr>
        <w:t>(which was</w:t>
      </w:r>
      <w:r>
        <w:t xml:space="preserve"> </w:t>
      </w:r>
      <w:r>
        <w:rPr>
          <w:rFonts w:ascii="Calibri" w:hAnsi="Calibri" w:cs="Calibri"/>
        </w:rPr>
        <w:t>performed by independent third-party evaluators) because it would be duplicative of significant funding that utilities</w:t>
      </w:r>
      <w:r>
        <w:t xml:space="preserve"> </w:t>
      </w:r>
      <w:r>
        <w:rPr>
          <w:rFonts w:ascii="Calibri" w:hAnsi="Calibri" w:cs="Calibri"/>
        </w:rPr>
        <w:t>had expended on that evaluation</w:t>
      </w:r>
      <w:r>
        <w:t xml:space="preserve"> </w:t>
      </w:r>
      <w:r>
        <w:rPr>
          <w:rFonts w:ascii="Calibri" w:hAnsi="Calibri" w:cs="Calibri"/>
        </w:rPr>
        <w:t>(as well as extending</w:t>
      </w:r>
      <w:r>
        <w:t xml:space="preserve"> </w:t>
      </w:r>
      <w:r>
        <w:rPr>
          <w:rFonts w:ascii="Calibri" w:hAnsi="Calibri" w:cs="Calibri"/>
        </w:rPr>
        <w:t>the RTF’s jurisdictional focus beyond BPA and public utilities).  This presents the exact opposite of the economy of scale argument in favor for</w:t>
      </w:r>
      <w:r>
        <w:t xml:space="preserve"> </w:t>
      </w:r>
      <w:r>
        <w:rPr>
          <w:rFonts w:ascii="Calibri" w:hAnsi="Calibri" w:cs="Calibri"/>
        </w:rPr>
        <w:t>an</w:t>
      </w:r>
      <w:r>
        <w:t xml:space="preserve"> </w:t>
      </w:r>
      <w:r>
        <w:rPr>
          <w:rFonts w:ascii="Calibri" w:hAnsi="Calibri" w:cs="Calibri"/>
        </w:rPr>
        <w:t>increased RTF role and subsequent funding. </w:t>
      </w:r>
      <w:r>
        <w:t xml:space="preserve"> </w:t>
      </w:r>
    </w:p>
    <w:p w:rsidR="00232963" w:rsidRDefault="00232963" w:rsidP="00232963">
      <w:pPr>
        <w:pStyle w:val="NormalWeb"/>
      </w:pPr>
      <w:r>
        <w:rPr>
          <w:rFonts w:ascii="Calibri" w:hAnsi="Calibri" w:cs="Calibri"/>
        </w:rPr>
        <w:t>This, then, brings into question some definitional issues associated with</w:t>
      </w:r>
      <w:r>
        <w:t xml:space="preserve"> </w:t>
      </w:r>
      <w:r>
        <w:rPr>
          <w:rFonts w:ascii="Calibri" w:hAnsi="Calibri" w:cs="Calibri"/>
        </w:rPr>
        <w:t>Policy</w:t>
      </w:r>
      <w:r>
        <w:t xml:space="preserve"> </w:t>
      </w:r>
      <w:r>
        <w:rPr>
          <w:rFonts w:ascii="Calibri" w:hAnsi="Calibri" w:cs="Calibri"/>
        </w:rPr>
        <w:t xml:space="preserve">Issues 2-4 (e.g., “review of impact evaluation” and “out of compliance”).  Each can add a layer of cost, time, and jurisdictional issues.  Likewise, the RTF’s “role in research funding” should not presuppose that </w:t>
      </w:r>
      <w:r>
        <w:rPr>
          <w:rFonts w:ascii="Calibri" w:hAnsi="Calibri" w:cs="Calibri"/>
        </w:rPr>
        <w:lastRenderedPageBreak/>
        <w:t>the RTF is the only player in this realm.  We don’t believe that is intended, but this, too, needs more definition. </w:t>
      </w:r>
      <w:r>
        <w:t xml:space="preserve"> </w:t>
      </w:r>
    </w:p>
    <w:p w:rsidR="00232963" w:rsidRDefault="00232963" w:rsidP="00232963">
      <w:pPr>
        <w:pStyle w:val="NormalWeb"/>
      </w:pPr>
      <w:r>
        <w:rPr>
          <w:rFonts w:ascii="Calibri" w:hAnsi="Calibri" w:cs="Calibri"/>
        </w:rPr>
        <w:t>The above comments are relevant to budget allocations.  Avista supports</w:t>
      </w:r>
      <w:r>
        <w:t xml:space="preserve"> </w:t>
      </w:r>
      <w:r>
        <w:rPr>
          <w:rFonts w:ascii="Calibri" w:hAnsi="Calibri" w:cs="Calibri"/>
        </w:rPr>
        <w:t>collecting, funding and applying technical evaluations,</w:t>
      </w:r>
      <w:r>
        <w:t xml:space="preserve"> </w:t>
      </w:r>
      <w:r>
        <w:rPr>
          <w:rFonts w:ascii="Calibri" w:hAnsi="Calibri" w:cs="Calibri"/>
        </w:rPr>
        <w:t>justifiable based upon the economy of scale that is achievable when performing evaluation on a regional basis. </w:t>
      </w:r>
      <w:r>
        <w:t xml:space="preserve"> </w:t>
      </w:r>
      <w:r>
        <w:rPr>
          <w:rFonts w:ascii="Calibri" w:hAnsi="Calibri" w:cs="Calibri"/>
        </w:rPr>
        <w:t xml:space="preserve">We have concerns if this is expanded to </w:t>
      </w:r>
      <w:proofErr w:type="gramStart"/>
      <w:r>
        <w:rPr>
          <w:rFonts w:ascii="Calibri" w:hAnsi="Calibri" w:cs="Calibri"/>
        </w:rPr>
        <w:t>areas that duplicates</w:t>
      </w:r>
      <w:proofErr w:type="gramEnd"/>
      <w:r>
        <w:rPr>
          <w:rFonts w:ascii="Calibri" w:hAnsi="Calibri" w:cs="Calibri"/>
        </w:rPr>
        <w:t xml:space="preserve"> cost and</w:t>
      </w:r>
      <w:r>
        <w:t xml:space="preserve"> </w:t>
      </w:r>
      <w:r>
        <w:rPr>
          <w:rFonts w:ascii="Calibri" w:hAnsi="Calibri" w:cs="Calibri"/>
        </w:rPr>
        <w:t>jurisdictional review.</w:t>
      </w:r>
    </w:p>
    <w:p w:rsidR="00232963" w:rsidRDefault="00232963" w:rsidP="00232963">
      <w:pPr>
        <w:pStyle w:val="NormalWeb"/>
      </w:pPr>
      <w:r>
        <w:rPr>
          <w:rFonts w:ascii="Calibri" w:hAnsi="Calibri" w:cs="Calibri"/>
        </w:rPr>
        <w:t>We look forward to discussing these issues at our next RTF Policy Advisory Committee.</w:t>
      </w:r>
    </w:p>
    <w:p w:rsidR="00232963" w:rsidRDefault="00232963" w:rsidP="00232963">
      <w:pPr>
        <w:pStyle w:val="NormalWeb"/>
      </w:pPr>
      <w:r>
        <w:rPr>
          <w:rFonts w:ascii="Calibri" w:hAnsi="Calibri" w:cs="Calibri"/>
        </w:rPr>
        <w:t>Thanks, Bruce</w:t>
      </w:r>
    </w:p>
    <w:p w:rsidR="00232963" w:rsidRDefault="00232963"/>
    <w:sectPr w:rsidR="00232963" w:rsidSect="006463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revisionView w:inkAnnotations="0"/>
  <w:defaultTabStop w:val="720"/>
  <w:drawingGridHorizontalSpacing w:val="120"/>
  <w:displayHorizontalDrawingGridEvery w:val="2"/>
  <w:characterSpacingControl w:val="doNotCompress"/>
  <w:compat/>
  <w:rsids>
    <w:rsidRoot w:val="00795A6B"/>
    <w:rsid w:val="0014708B"/>
    <w:rsid w:val="00232963"/>
    <w:rsid w:val="00252583"/>
    <w:rsid w:val="00277286"/>
    <w:rsid w:val="002D4D9A"/>
    <w:rsid w:val="00367968"/>
    <w:rsid w:val="003D5BEC"/>
    <w:rsid w:val="00406607"/>
    <w:rsid w:val="00461123"/>
    <w:rsid w:val="00473D3A"/>
    <w:rsid w:val="00646356"/>
    <w:rsid w:val="006A488D"/>
    <w:rsid w:val="00795A6B"/>
    <w:rsid w:val="008941FD"/>
    <w:rsid w:val="00947FBA"/>
    <w:rsid w:val="0095720E"/>
    <w:rsid w:val="00A30E61"/>
    <w:rsid w:val="00AF63DB"/>
    <w:rsid w:val="00B470C8"/>
    <w:rsid w:val="00B86F20"/>
    <w:rsid w:val="00C82745"/>
    <w:rsid w:val="00D570B2"/>
    <w:rsid w:val="00D9393E"/>
    <w:rsid w:val="00E95808"/>
    <w:rsid w:val="00EA0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67968"/>
    <w:rPr>
      <w:sz w:val="24"/>
      <w:szCs w:val="24"/>
    </w:rPr>
  </w:style>
  <w:style w:type="paragraph" w:styleId="Heading1">
    <w:name w:val="heading 1"/>
    <w:next w:val="Normal"/>
    <w:qFormat/>
    <w:rsid w:val="00EA09AE"/>
    <w:pPr>
      <w:keepNext/>
      <w:spacing w:before="240" w:after="60"/>
      <w:outlineLvl w:val="0"/>
    </w:pPr>
    <w:rPr>
      <w:rFonts w:cs="Arial"/>
      <w:bCs/>
      <w:kern w:val="32"/>
      <w:sz w:val="16"/>
      <w:szCs w:val="32"/>
    </w:rPr>
  </w:style>
  <w:style w:type="paragraph" w:styleId="Heading2">
    <w:name w:val="heading 2"/>
    <w:next w:val="Normal"/>
    <w:qFormat/>
    <w:rsid w:val="00EA09AE"/>
    <w:pPr>
      <w:outlineLvl w:val="1"/>
    </w:pPr>
    <w:rPr>
      <w:rFonts w:cs="Arial"/>
      <w:iCs/>
      <w:kern w:val="32"/>
      <w:sz w:val="16"/>
      <w:szCs w:val="32"/>
    </w:rPr>
  </w:style>
  <w:style w:type="paragraph" w:styleId="Heading3">
    <w:name w:val="heading 3"/>
    <w:next w:val="Normal"/>
    <w:qFormat/>
    <w:rsid w:val="00EA09AE"/>
    <w:pPr>
      <w:outlineLvl w:val="2"/>
    </w:pPr>
    <w:rPr>
      <w:rFonts w:cs="Arial"/>
      <w:bCs/>
      <w:iCs/>
      <w:kern w:val="32"/>
      <w:sz w:val="16"/>
      <w:szCs w:val="32"/>
    </w:rPr>
  </w:style>
  <w:style w:type="paragraph" w:styleId="Heading4">
    <w:name w:val="heading 4"/>
    <w:next w:val="Normal"/>
    <w:qFormat/>
    <w:rsid w:val="00EA09AE"/>
    <w:pPr>
      <w:outlineLvl w:val="3"/>
    </w:pPr>
    <w:rPr>
      <w:rFonts w:cs="Arial"/>
      <w:bCs/>
      <w:iCs/>
      <w:kern w:val="32"/>
      <w:sz w:val="16"/>
      <w:szCs w:val="32"/>
    </w:rPr>
  </w:style>
  <w:style w:type="paragraph" w:styleId="Heading5">
    <w:name w:val="heading 5"/>
    <w:next w:val="Normal"/>
    <w:qFormat/>
    <w:rsid w:val="00EA09AE"/>
    <w:pPr>
      <w:outlineLvl w:val="4"/>
    </w:pPr>
    <w:rPr>
      <w:rFonts w:cs="Arial"/>
      <w:bCs/>
      <w:iCs/>
      <w:kern w:val="32"/>
      <w:sz w:val="16"/>
      <w:szCs w:val="32"/>
    </w:rPr>
  </w:style>
  <w:style w:type="paragraph" w:styleId="Heading6">
    <w:name w:val="heading 6"/>
    <w:next w:val="Normal"/>
    <w:qFormat/>
    <w:rsid w:val="00EA09AE"/>
    <w:pPr>
      <w:outlineLvl w:val="5"/>
    </w:pPr>
    <w:rPr>
      <w:rFonts w:cs="Arial"/>
      <w:iCs/>
      <w:kern w:val="32"/>
      <w:sz w:val="16"/>
      <w:szCs w:val="32"/>
    </w:rPr>
  </w:style>
  <w:style w:type="paragraph" w:styleId="Heading7">
    <w:name w:val="heading 7"/>
    <w:next w:val="Normal"/>
    <w:qFormat/>
    <w:rsid w:val="00EA09AE"/>
    <w:pPr>
      <w:outlineLvl w:val="6"/>
    </w:pPr>
    <w:rPr>
      <w:rFonts w:cs="Arial"/>
      <w:bCs/>
      <w:iCs/>
      <w:kern w:val="32"/>
      <w:sz w:val="16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32963"/>
    <w:pPr>
      <w:spacing w:before="100" w:beforeAutospacing="1" w:after="100" w:afterAutospacing="1"/>
    </w:pPr>
    <w:rPr>
      <w:rFonts w:eastAsiaTheme="minorHAn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245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487</Words>
  <Characters>2790</Characters>
  <Application>Microsoft Office Word</Application>
  <DocSecurity>0</DocSecurity>
  <Lines>23</Lines>
  <Paragraphs>6</Paragraphs>
  <ScaleCrop>false</ScaleCrop>
  <Company>Northwest Power and Conservation Council</Company>
  <LinksUpToDate>false</LinksUpToDate>
  <CharactersWithSpaces>3271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Terry Morlan</dc:creator>
  <cp:lastModifiedBy>Terry Morlan</cp:lastModifiedBy>
  <cp:revision>2</cp:revision>
  <dcterms:created xsi:type="dcterms:W3CDTF">2011-09-23T15:19:00Z</dcterms:created>
  <dcterms:modified xsi:type="dcterms:W3CDTF">2011-09-23T15:21:00Z</dcterms:modified>
</cp:coreProperties>
</file>