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57" w:rsidRDefault="00403D57" w:rsidP="004A3071">
      <w:pPr>
        <w:tabs>
          <w:tab w:val="left" w:pos="720"/>
          <w:tab w:val="left" w:pos="1440"/>
          <w:tab w:val="left" w:pos="2160"/>
          <w:tab w:val="left" w:pos="2880"/>
          <w:tab w:val="left" w:pos="3600"/>
          <w:tab w:val="left" w:pos="4320"/>
          <w:tab w:val="left" w:pos="5230"/>
          <w:tab w:val="left" w:pos="8069"/>
        </w:tabs>
      </w:pPr>
      <w:proofErr w:type="gramStart"/>
      <w:r w:rsidRPr="00FA162C">
        <w:rPr>
          <w:b/>
        </w:rPr>
        <w:t>Meeting Time</w:t>
      </w:r>
      <w:r w:rsidR="00D31F5E">
        <w:t xml:space="preserve">: </w:t>
      </w:r>
      <w:r w:rsidR="00D31F5E">
        <w:tab/>
      </w:r>
      <w:r w:rsidR="00D31F5E">
        <w:tab/>
      </w:r>
      <w:r w:rsidR="00670AAB">
        <w:t>9</w:t>
      </w:r>
      <w:r>
        <w:t>:</w:t>
      </w:r>
      <w:r w:rsidR="002D352F">
        <w:t>3</w:t>
      </w:r>
      <w:r w:rsidR="005449A2">
        <w:t>0</w:t>
      </w:r>
      <w:r>
        <w:t xml:space="preserve"> A.M. to </w:t>
      </w:r>
      <w:r w:rsidR="009312A9">
        <w:t>2</w:t>
      </w:r>
      <w:r w:rsidR="00670AAB">
        <w:t>:</w:t>
      </w:r>
      <w:r w:rsidR="009312A9">
        <w:t>45</w:t>
      </w:r>
      <w:r>
        <w:t xml:space="preserve"> P.M.</w:t>
      </w:r>
      <w:proofErr w:type="gramEnd"/>
      <w:r w:rsidR="00716007">
        <w:tab/>
      </w:r>
      <w:r w:rsidR="00716007">
        <w:tab/>
      </w:r>
      <w:r w:rsidR="004A3071">
        <w:tab/>
      </w:r>
    </w:p>
    <w:p w:rsidR="00403D57" w:rsidRDefault="00403D57" w:rsidP="00403D57">
      <w:pPr>
        <w:ind w:left="2160" w:hanging="2160"/>
      </w:pPr>
      <w:r w:rsidRPr="00FA162C">
        <w:rPr>
          <w:b/>
        </w:rPr>
        <w:t>Meeting Location</w:t>
      </w:r>
      <w:r>
        <w:t xml:space="preserve">: </w:t>
      </w:r>
      <w:r>
        <w:tab/>
        <w:t>Northwest Power and Conservation Council</w:t>
      </w:r>
      <w:r>
        <w:br/>
        <w:t>851 SW 6</w:t>
      </w:r>
      <w:r w:rsidRPr="00FA162C">
        <w:rPr>
          <w:vertAlign w:val="superscript"/>
        </w:rPr>
        <w:t>th</w:t>
      </w:r>
      <w:r>
        <w:t xml:space="preserve"> Ave. </w:t>
      </w:r>
      <w:r>
        <w:br/>
      </w:r>
      <w:r w:rsidR="002A23CA">
        <w:t>11</w:t>
      </w:r>
      <w:r w:rsidR="000B1E3A" w:rsidRPr="000B1E3A">
        <w:rPr>
          <w:vertAlign w:val="superscript"/>
        </w:rPr>
        <w:t>th</w:t>
      </w:r>
      <w:r w:rsidR="000B1E3A">
        <w:t xml:space="preserve"> Floor Meeting Room</w:t>
      </w:r>
      <w:r>
        <w:br/>
        <w:t>Portland, OR 97204</w:t>
      </w:r>
    </w:p>
    <w:p w:rsidR="00403D57" w:rsidRDefault="00403D57" w:rsidP="00A30AF6">
      <w:pPr>
        <w:ind w:left="2160" w:hanging="2160"/>
      </w:pPr>
      <w:r w:rsidRPr="00FA162C">
        <w:rPr>
          <w:b/>
        </w:rPr>
        <w:t>Facilitator</w:t>
      </w:r>
      <w:r w:rsidR="00670AAB">
        <w:t xml:space="preserve">:        </w:t>
      </w:r>
      <w:r w:rsidR="006514FA">
        <w:tab/>
      </w:r>
      <w:r w:rsidR="00670AAB">
        <w:t>Steven Simmons</w:t>
      </w:r>
      <w:r w:rsidR="00143F7D" w:rsidRPr="00143F7D">
        <w:t xml:space="preserve"> </w:t>
      </w:r>
      <w:r w:rsidR="00143F7D">
        <w:t>and Gillian Charles</w:t>
      </w:r>
      <w:r>
        <w:t>, Northwest Power and Conservation Council</w:t>
      </w:r>
      <w:r w:rsidR="005042F8">
        <w:t xml:space="preserve"> </w:t>
      </w:r>
    </w:p>
    <w:p w:rsidR="00403D57" w:rsidRDefault="00403D57" w:rsidP="00403D57">
      <w:r w:rsidRPr="00FA162C">
        <w:rPr>
          <w:b/>
        </w:rPr>
        <w:t>Note Taker</w:t>
      </w:r>
      <w:r w:rsidR="00670AAB">
        <w:t xml:space="preserve">: </w:t>
      </w:r>
      <w:r w:rsidR="00670AAB">
        <w:tab/>
      </w:r>
      <w:r w:rsidR="006514FA">
        <w:tab/>
      </w:r>
      <w:r>
        <w:t>Kyle Gustafson</w:t>
      </w:r>
    </w:p>
    <w:p w:rsidR="00680BE1" w:rsidRPr="00940801" w:rsidRDefault="00403D57" w:rsidP="009312A9">
      <w:pPr>
        <w:pStyle w:val="NoSpacing"/>
      </w:pPr>
      <w:r>
        <w:rPr>
          <w:b/>
        </w:rPr>
        <w:t xml:space="preserve">Attendees: </w:t>
      </w:r>
      <w:r>
        <w:rPr>
          <w:b/>
        </w:rPr>
        <w:tab/>
      </w:r>
      <w:r w:rsidR="006514FA">
        <w:rPr>
          <w:b/>
        </w:rPr>
        <w:tab/>
      </w:r>
      <w:r>
        <w:rPr>
          <w:i/>
        </w:rPr>
        <w:t>On</w:t>
      </w:r>
      <w:r w:rsidR="00E17D2F">
        <w:rPr>
          <w:i/>
        </w:rPr>
        <w:t>-S</w:t>
      </w:r>
      <w:r>
        <w:rPr>
          <w:i/>
        </w:rPr>
        <w:t>ite</w:t>
      </w:r>
      <w:r w:rsidR="003D3F98">
        <w:rPr>
          <w:i/>
        </w:rPr>
        <w:br/>
      </w:r>
      <w:r w:rsidR="003D3F98">
        <w:rPr>
          <w:i/>
        </w:rPr>
        <w:tab/>
      </w:r>
      <w:r w:rsidR="003D3F98">
        <w:rPr>
          <w:i/>
        </w:rPr>
        <w:tab/>
      </w:r>
      <w:r w:rsidR="006514FA">
        <w:rPr>
          <w:i/>
        </w:rPr>
        <w:tab/>
      </w:r>
      <w:r w:rsidR="00680BE1" w:rsidRPr="00940801">
        <w:t>Rick Sterling, Idaho PUC</w:t>
      </w:r>
    </w:p>
    <w:p w:rsidR="009312A9" w:rsidRPr="00940801" w:rsidRDefault="009312A9" w:rsidP="009312A9">
      <w:pPr>
        <w:pStyle w:val="NoSpacing"/>
      </w:pPr>
      <w:r w:rsidRPr="00940801">
        <w:tab/>
      </w:r>
      <w:r w:rsidRPr="00940801">
        <w:tab/>
      </w:r>
      <w:r w:rsidRPr="00940801">
        <w:tab/>
      </w:r>
      <w:proofErr w:type="spellStart"/>
      <w:r w:rsidRPr="00940801">
        <w:t>Tomás</w:t>
      </w:r>
      <w:proofErr w:type="spellEnd"/>
      <w:r w:rsidRPr="00940801">
        <w:t xml:space="preserve"> Morrissey, Pacific Northwest Utilities Conference Committee</w:t>
      </w:r>
    </w:p>
    <w:p w:rsidR="009312A9" w:rsidRPr="00940801" w:rsidRDefault="009312A9" w:rsidP="009312A9">
      <w:pPr>
        <w:pStyle w:val="NoSpacing"/>
        <w:ind w:left="2160"/>
      </w:pPr>
      <w:r w:rsidRPr="00940801">
        <w:t>Thad Roth, Energy Trust of Oregon</w:t>
      </w:r>
    </w:p>
    <w:p w:rsidR="00BA5DD7" w:rsidRPr="00940801" w:rsidRDefault="00BA5DD7" w:rsidP="009312A9">
      <w:pPr>
        <w:pStyle w:val="NoSpacing"/>
        <w:ind w:left="2160"/>
      </w:pPr>
      <w:r w:rsidRPr="00940801">
        <w:t>Stefan Brown, Portland General Electric</w:t>
      </w:r>
    </w:p>
    <w:p w:rsidR="00680BE1" w:rsidRPr="00940801" w:rsidRDefault="00680BE1" w:rsidP="006514FA">
      <w:pPr>
        <w:pStyle w:val="NoSpacing"/>
        <w:ind w:left="2160"/>
      </w:pPr>
      <w:r w:rsidRPr="00940801">
        <w:t>Eddie Abadi, Bonneville Power Administration</w:t>
      </w:r>
    </w:p>
    <w:p w:rsidR="00680BE1" w:rsidRPr="00940801" w:rsidRDefault="00680BE1" w:rsidP="006514FA">
      <w:pPr>
        <w:pStyle w:val="NoSpacing"/>
        <w:ind w:left="2160"/>
      </w:pPr>
      <w:r w:rsidRPr="00940801">
        <w:t>Fred</w:t>
      </w:r>
      <w:r w:rsidR="00BA5DD7" w:rsidRPr="00940801">
        <w:t xml:space="preserve"> </w:t>
      </w:r>
      <w:proofErr w:type="spellStart"/>
      <w:r w:rsidR="00BA5DD7" w:rsidRPr="00940801">
        <w:t>Heutte</w:t>
      </w:r>
      <w:proofErr w:type="spellEnd"/>
      <w:r w:rsidR="00BA5DD7" w:rsidRPr="00940801">
        <w:t>, Northwest</w:t>
      </w:r>
      <w:r w:rsidRPr="00940801">
        <w:t xml:space="preserve"> Energy Coalition</w:t>
      </w:r>
    </w:p>
    <w:p w:rsidR="001C79FD" w:rsidRPr="00940801" w:rsidRDefault="001C79FD" w:rsidP="006514FA">
      <w:pPr>
        <w:pStyle w:val="NoSpacing"/>
        <w:ind w:left="2160"/>
      </w:pPr>
      <w:r w:rsidRPr="00940801">
        <w:t>Michael O’Brien, Renewable Northwest</w:t>
      </w:r>
    </w:p>
    <w:p w:rsidR="001C79FD" w:rsidRPr="00940801" w:rsidRDefault="001C79FD" w:rsidP="006514FA">
      <w:pPr>
        <w:pStyle w:val="NoSpacing"/>
        <w:ind w:left="2160"/>
      </w:pPr>
      <w:r w:rsidRPr="00940801">
        <w:t>Paul Dockery, Clatskanie PUD</w:t>
      </w:r>
    </w:p>
    <w:p w:rsidR="00A473A8" w:rsidRPr="00940801" w:rsidRDefault="00A473A8" w:rsidP="006514FA">
      <w:pPr>
        <w:pStyle w:val="NoSpacing"/>
        <w:ind w:left="2160"/>
      </w:pPr>
      <w:r w:rsidRPr="00940801">
        <w:t>Chelsea Wright, Public</w:t>
      </w:r>
    </w:p>
    <w:p w:rsidR="00680BE1" w:rsidRPr="00940801" w:rsidRDefault="00680BE1" w:rsidP="006514FA">
      <w:pPr>
        <w:pStyle w:val="NoSpacing"/>
        <w:ind w:left="2160"/>
      </w:pPr>
      <w:r w:rsidRPr="00940801">
        <w:t>Robert Brown, Portland General Electric</w:t>
      </w:r>
    </w:p>
    <w:p w:rsidR="00680BE1" w:rsidRPr="00940801" w:rsidRDefault="00680BE1" w:rsidP="006514FA">
      <w:pPr>
        <w:pStyle w:val="NoSpacing"/>
        <w:ind w:left="2160"/>
      </w:pPr>
      <w:r w:rsidRPr="00940801">
        <w:t>David Nightingale, WA Utilities and Transportation Commission</w:t>
      </w:r>
    </w:p>
    <w:p w:rsidR="00680BE1" w:rsidRPr="00940801" w:rsidRDefault="00680BE1" w:rsidP="006514FA">
      <w:pPr>
        <w:pStyle w:val="NoSpacing"/>
        <w:ind w:left="2160"/>
      </w:pPr>
      <w:r w:rsidRPr="00940801">
        <w:t>Gillian Charles, Northwest Power and Conservation Council</w:t>
      </w:r>
    </w:p>
    <w:p w:rsidR="00680BE1" w:rsidRPr="00940801" w:rsidRDefault="00680BE1" w:rsidP="006514FA">
      <w:pPr>
        <w:pStyle w:val="NoSpacing"/>
        <w:ind w:left="2160"/>
      </w:pPr>
      <w:r w:rsidRPr="00940801">
        <w:t>Steve Simmons, Northwest Power and Conservation Council</w:t>
      </w:r>
    </w:p>
    <w:p w:rsidR="00680BE1" w:rsidRPr="00940801" w:rsidRDefault="00680BE1" w:rsidP="006514FA">
      <w:pPr>
        <w:pStyle w:val="NoSpacing"/>
        <w:ind w:left="2160"/>
      </w:pPr>
      <w:r w:rsidRPr="00940801">
        <w:t>Charlie Black, Northwest Power and Conservation Council</w:t>
      </w:r>
    </w:p>
    <w:p w:rsidR="009312A9" w:rsidRPr="00940801" w:rsidRDefault="00680BE1" w:rsidP="009312A9">
      <w:pPr>
        <w:pStyle w:val="NoSpacing"/>
        <w:ind w:left="2160"/>
      </w:pPr>
      <w:r w:rsidRPr="00940801">
        <w:t>Jeff King, J.C. King and Associates</w:t>
      </w:r>
      <w:r w:rsidR="009312A9" w:rsidRPr="00940801">
        <w:t xml:space="preserve"> </w:t>
      </w:r>
    </w:p>
    <w:p w:rsidR="009312A9" w:rsidRPr="00940801" w:rsidRDefault="009312A9" w:rsidP="009312A9">
      <w:pPr>
        <w:pStyle w:val="NoSpacing"/>
        <w:ind w:left="2160"/>
      </w:pPr>
      <w:r w:rsidRPr="00940801">
        <w:t xml:space="preserve">Greg Nothstein, Washington Department of Commerce </w:t>
      </w:r>
    </w:p>
    <w:p w:rsidR="009312A9" w:rsidRPr="00940801" w:rsidRDefault="009312A9" w:rsidP="009312A9">
      <w:pPr>
        <w:pStyle w:val="NoSpacing"/>
        <w:ind w:left="2160"/>
      </w:pPr>
      <w:r w:rsidRPr="00940801">
        <w:t>Jeff Kugel, PNGC Power</w:t>
      </w:r>
    </w:p>
    <w:p w:rsidR="001C79FD" w:rsidRPr="00325A08" w:rsidRDefault="001C79FD" w:rsidP="001C79FD">
      <w:pPr>
        <w:pStyle w:val="NoSpacing"/>
        <w:ind w:left="2160"/>
      </w:pPr>
      <w:r w:rsidRPr="00940801">
        <w:t>Erin Erben</w:t>
      </w:r>
      <w:r>
        <w:t>, E</w:t>
      </w:r>
      <w:r w:rsidRPr="00325A08">
        <w:t>ugene Water and Electric</w:t>
      </w:r>
    </w:p>
    <w:p w:rsidR="009312A9" w:rsidRPr="00325A08" w:rsidRDefault="00ED3A09" w:rsidP="009312A9">
      <w:pPr>
        <w:pStyle w:val="NoSpacing"/>
        <w:ind w:left="2160"/>
      </w:pPr>
      <w:r w:rsidRPr="00325A08">
        <w:t xml:space="preserve">Chris Robertson, </w:t>
      </w:r>
      <w:r w:rsidR="00325A08" w:rsidRPr="00325A08">
        <w:t>Chris Robertson and Associates</w:t>
      </w:r>
    </w:p>
    <w:p w:rsidR="00680BE1" w:rsidRPr="000619D6" w:rsidRDefault="00940801" w:rsidP="00FC3410">
      <w:pPr>
        <w:pStyle w:val="NoSpacing"/>
        <w:ind w:left="2160"/>
      </w:pPr>
      <w:r w:rsidRPr="00325A08">
        <w:t>David Brown,</w:t>
      </w:r>
      <w:r w:rsidR="00325A08">
        <w:t xml:space="preserve"> Obsidian </w:t>
      </w:r>
      <w:proofErr w:type="spellStart"/>
      <w:r w:rsidR="00325A08">
        <w:t>Renewables</w:t>
      </w:r>
      <w:proofErr w:type="spellEnd"/>
    </w:p>
    <w:p w:rsidR="000B1E3A" w:rsidRPr="000619D6" w:rsidRDefault="000B1E3A" w:rsidP="000B59C3">
      <w:pPr>
        <w:pStyle w:val="NoSpacing"/>
      </w:pPr>
    </w:p>
    <w:p w:rsidR="00E17D2F" w:rsidRDefault="00E17D2F" w:rsidP="006514FA">
      <w:pPr>
        <w:pStyle w:val="NoSpacing"/>
      </w:pPr>
      <w:r>
        <w:rPr>
          <w:b/>
        </w:rPr>
        <w:t>Attendees:</w:t>
      </w:r>
      <w:r w:rsidR="00670AAB">
        <w:tab/>
      </w:r>
      <w:r w:rsidR="006514FA">
        <w:tab/>
      </w:r>
      <w:r w:rsidRPr="00254B13">
        <w:rPr>
          <w:i/>
        </w:rPr>
        <w:t xml:space="preserve">Via </w:t>
      </w:r>
      <w:proofErr w:type="spellStart"/>
      <w:r w:rsidRPr="00254B13">
        <w:rPr>
          <w:i/>
        </w:rPr>
        <w:t>GoToMeeting</w:t>
      </w:r>
      <w:proofErr w:type="spellEnd"/>
      <w:r>
        <w:tab/>
      </w:r>
      <w:r>
        <w:tab/>
      </w:r>
      <w:r>
        <w:tab/>
      </w:r>
    </w:p>
    <w:p w:rsidR="007C1259" w:rsidRDefault="007C1259" w:rsidP="007C1259">
      <w:pPr>
        <w:pStyle w:val="NoSpacing"/>
        <w:ind w:left="2160"/>
      </w:pPr>
      <w:r>
        <w:t>Mike Hoffman, Pacific Northwest National Laboratory</w:t>
      </w:r>
    </w:p>
    <w:p w:rsidR="007C1259" w:rsidRDefault="002606DF" w:rsidP="007C1259">
      <w:pPr>
        <w:pStyle w:val="NoSpacing"/>
        <w:ind w:left="2160"/>
      </w:pPr>
      <w:r>
        <w:t>Robert Petty, Bonneville Power Administration</w:t>
      </w:r>
    </w:p>
    <w:p w:rsidR="002606DF" w:rsidRDefault="002606DF" w:rsidP="002606DF">
      <w:pPr>
        <w:pStyle w:val="NoSpacing"/>
        <w:ind w:left="2160"/>
      </w:pPr>
      <w:r>
        <w:t xml:space="preserve">James Gall, </w:t>
      </w:r>
      <w:proofErr w:type="spellStart"/>
      <w:r>
        <w:t>Avista</w:t>
      </w:r>
      <w:proofErr w:type="spellEnd"/>
    </w:p>
    <w:p w:rsidR="002606DF" w:rsidRDefault="002606DF" w:rsidP="007C1259">
      <w:pPr>
        <w:pStyle w:val="NoSpacing"/>
        <w:ind w:left="2160"/>
      </w:pPr>
      <w:r>
        <w:t>Kevin O’Meara, Public Power Council</w:t>
      </w:r>
    </w:p>
    <w:p w:rsidR="00546FFF" w:rsidRDefault="00546FFF" w:rsidP="007C1259">
      <w:pPr>
        <w:pStyle w:val="NoSpacing"/>
        <w:ind w:left="2160"/>
      </w:pPr>
      <w:r>
        <w:t>Elizabeth Hossner, Puget Sound Energy</w:t>
      </w:r>
    </w:p>
    <w:p w:rsidR="00546FFF" w:rsidRDefault="00546FFF" w:rsidP="00546FFF">
      <w:pPr>
        <w:pStyle w:val="NoSpacing"/>
        <w:ind w:left="2160"/>
      </w:pPr>
      <w:r>
        <w:t>Russ Schneider, Flathead Electric Coop</w:t>
      </w:r>
      <w:r w:rsidR="00A971CE">
        <w:t>erative</w:t>
      </w:r>
    </w:p>
    <w:p w:rsidR="004125C4" w:rsidRDefault="004125C4" w:rsidP="004125C4">
      <w:pPr>
        <w:pStyle w:val="NoSpacing"/>
        <w:ind w:left="2160"/>
      </w:pPr>
      <w:r>
        <w:t xml:space="preserve">Dave </w:t>
      </w:r>
      <w:proofErr w:type="spellStart"/>
      <w:r>
        <w:t>LeVee</w:t>
      </w:r>
      <w:proofErr w:type="spellEnd"/>
      <w:r>
        <w:t xml:space="preserve">, </w:t>
      </w:r>
      <w:proofErr w:type="spellStart"/>
      <w:r>
        <w:t>Pwrcast</w:t>
      </w:r>
      <w:proofErr w:type="spellEnd"/>
    </w:p>
    <w:p w:rsidR="004125C4" w:rsidRDefault="004125C4" w:rsidP="00546FFF">
      <w:pPr>
        <w:pStyle w:val="NoSpacing"/>
        <w:ind w:left="2160"/>
      </w:pPr>
      <w:r>
        <w:t xml:space="preserve">Robert </w:t>
      </w:r>
      <w:proofErr w:type="spellStart"/>
      <w:r>
        <w:t>Diffely</w:t>
      </w:r>
      <w:proofErr w:type="spellEnd"/>
      <w:r>
        <w:t xml:space="preserve">, Bonneville Power Administration </w:t>
      </w:r>
    </w:p>
    <w:p w:rsidR="00546FFF" w:rsidRDefault="004125C4" w:rsidP="007C1259">
      <w:pPr>
        <w:pStyle w:val="NoSpacing"/>
        <w:ind w:left="2160"/>
      </w:pPr>
      <w:r>
        <w:t>Brian Dekiep, Northwest Power and Conservation Council</w:t>
      </w:r>
    </w:p>
    <w:p w:rsidR="004125C4" w:rsidRDefault="004125C4" w:rsidP="004125C4">
      <w:pPr>
        <w:pStyle w:val="NoSpacing"/>
        <w:ind w:left="2160"/>
      </w:pPr>
      <w:r>
        <w:t>Zac Yanez, Snohomish PUD</w:t>
      </w:r>
    </w:p>
    <w:p w:rsidR="004125C4" w:rsidRDefault="004125C4" w:rsidP="004125C4">
      <w:pPr>
        <w:pStyle w:val="NoSpacing"/>
        <w:ind w:left="2160"/>
      </w:pPr>
      <w:r>
        <w:t>Tom Kaiserski, Montana Department of Commerce</w:t>
      </w:r>
    </w:p>
    <w:p w:rsidR="004125C4" w:rsidRDefault="004125C4" w:rsidP="004125C4">
      <w:pPr>
        <w:pStyle w:val="NoSpacing"/>
        <w:ind w:left="2160"/>
      </w:pPr>
      <w:r>
        <w:t xml:space="preserve">Rick Rozanski, </w:t>
      </w:r>
      <w:r w:rsidR="00F164BE">
        <w:t>McMinnville Water &amp; Light</w:t>
      </w:r>
    </w:p>
    <w:p w:rsidR="00940801" w:rsidRDefault="00FC3410" w:rsidP="006514FA">
      <w:pPr>
        <w:pStyle w:val="NoSpacing"/>
        <w:ind w:left="2160"/>
      </w:pPr>
      <w:r>
        <w:t xml:space="preserve">Jessica Zahnow, Bonneville Power Administration </w:t>
      </w:r>
    </w:p>
    <w:p w:rsidR="00DE0572" w:rsidRDefault="00DE0572" w:rsidP="00DE0572">
      <w:pPr>
        <w:pStyle w:val="Heading1"/>
      </w:pPr>
      <w:r>
        <w:lastRenderedPageBreak/>
        <w:t>Welcome and Introductions</w:t>
      </w:r>
    </w:p>
    <w:p w:rsidR="00DE0572" w:rsidRDefault="00DE0572" w:rsidP="00DE0572">
      <w:pPr>
        <w:pStyle w:val="Subtitle"/>
      </w:pPr>
      <w:r>
        <w:t>Presenter: Steve Simmons, Northwest Power and Conservation Council</w:t>
      </w:r>
    </w:p>
    <w:p w:rsidR="00C07D72" w:rsidRDefault="00DE0572" w:rsidP="00DE0572">
      <w:r>
        <w:t>Steve Simmons began the Generating Resources Advisory Committee (GRAC) meeting at 9:00 A.M</w:t>
      </w:r>
      <w:r w:rsidR="00C07D72">
        <w:t>.</w:t>
      </w:r>
    </w:p>
    <w:p w:rsidR="00C07D72" w:rsidRDefault="00DE0572" w:rsidP="003D35DE">
      <w:r>
        <w:t>The GRAC meeting attendees introduced themselves</w:t>
      </w:r>
      <w:r w:rsidR="00C07D72">
        <w:t>.</w:t>
      </w:r>
    </w:p>
    <w:p w:rsidR="00C07D72" w:rsidRDefault="000907C5" w:rsidP="00DE0572">
      <w:r>
        <w:t xml:space="preserve">Simmons reviewed </w:t>
      </w:r>
      <w:r w:rsidR="00C07D72">
        <w:t>the agenda and the role of the GRAC.</w:t>
      </w:r>
    </w:p>
    <w:p w:rsidR="00DE0572" w:rsidRDefault="00DE0572" w:rsidP="00DE0572">
      <w:pPr>
        <w:pStyle w:val="Heading1"/>
      </w:pPr>
      <w:r>
        <w:t>Preliminary Assumptions for Natural Gas Peaking Technologies</w:t>
      </w:r>
    </w:p>
    <w:p w:rsidR="00DE0572" w:rsidRDefault="00DE0572" w:rsidP="00DE0572">
      <w:pPr>
        <w:pStyle w:val="Subtitle"/>
      </w:pPr>
      <w:r>
        <w:t>Presenters: Gillian Charles and Steve Simmons, Northwest Power and Conservation Council</w:t>
      </w:r>
    </w:p>
    <w:p w:rsidR="00DE0572" w:rsidRDefault="009B0B04" w:rsidP="00DE0572">
      <w:pPr>
        <w:pStyle w:val="Heading2"/>
      </w:pPr>
      <w:r>
        <w:t>Overview</w:t>
      </w:r>
    </w:p>
    <w:p w:rsidR="00C07D72" w:rsidRDefault="000907C5" w:rsidP="00DE0572">
      <w:r>
        <w:t xml:space="preserve">Simmons reviewed </w:t>
      </w:r>
      <w:r w:rsidR="009B0B04">
        <w:t>today’s discussion on natural gas peaking technologies</w:t>
      </w:r>
      <w:r w:rsidR="00C07D72">
        <w:t>.</w:t>
      </w:r>
    </w:p>
    <w:p w:rsidR="00DE0572" w:rsidRDefault="009B0B04" w:rsidP="00DE0572">
      <w:pPr>
        <w:pStyle w:val="Heading2"/>
      </w:pPr>
      <w:r>
        <w:t xml:space="preserve">Definitions and </w:t>
      </w:r>
      <w:r w:rsidR="00DE0572">
        <w:t>Applications of Gas Units</w:t>
      </w:r>
    </w:p>
    <w:p w:rsidR="00C07D72" w:rsidRDefault="004D468C" w:rsidP="00DE0572">
      <w:r>
        <w:t xml:space="preserve">Simmons reviewed definitions of </w:t>
      </w:r>
      <w:proofErr w:type="spellStart"/>
      <w:r>
        <w:t>baseload</w:t>
      </w:r>
      <w:proofErr w:type="spellEnd"/>
      <w:r>
        <w:t xml:space="preserve"> energy, peaking capacity, hydro firming and flexibility</w:t>
      </w:r>
      <w:r w:rsidR="00D31D2B">
        <w:t xml:space="preserve">. </w:t>
      </w:r>
      <w:r>
        <w:t xml:space="preserve">Based on these definitions, </w:t>
      </w:r>
      <w:r w:rsidR="00DE0572">
        <w:t xml:space="preserve">Simmons discussed the </w:t>
      </w:r>
      <w:r>
        <w:t xml:space="preserve">applications of gas units on the </w:t>
      </w:r>
      <w:r w:rsidR="00DE0572">
        <w:t xml:space="preserve">table on </w:t>
      </w:r>
      <w:r w:rsidR="00FE5B13">
        <w:t>slide</w:t>
      </w:r>
      <w:r w:rsidR="00DE0572">
        <w:t xml:space="preserve"> 4</w:t>
      </w:r>
      <w:r w:rsidR="00E2304A">
        <w:t>.</w:t>
      </w:r>
      <w:r w:rsidR="00DE0572">
        <w:t xml:space="preserve"> </w:t>
      </w:r>
      <w:r w:rsidR="00E2304A">
        <w:t>Simmons explained</w:t>
      </w:r>
      <w:r w:rsidR="00D50FF6">
        <w:t xml:space="preserve"> that this is a preliminary look at </w:t>
      </w:r>
      <w:r w:rsidR="00E2304A">
        <w:t>how the Council is proposing to divide natural gas-related technologies into categories</w:t>
      </w:r>
      <w:r w:rsidR="005F149E">
        <w:t xml:space="preserve"> and how to look at resources for the Seventh Power Plan</w:t>
      </w:r>
      <w:r w:rsidR="00E2304A">
        <w:t xml:space="preserve"> </w:t>
      </w:r>
      <w:r w:rsidR="00D50FF6">
        <w:t>and asked for comments</w:t>
      </w:r>
      <w:r w:rsidR="00E2304A">
        <w:t>.</w:t>
      </w:r>
    </w:p>
    <w:p w:rsidR="005F149E" w:rsidRDefault="005F149E" w:rsidP="00DE0572">
      <w:r>
        <w:t xml:space="preserve">Michael O’Brien noted that the </w:t>
      </w:r>
      <w:proofErr w:type="spellStart"/>
      <w:r>
        <w:t>recip</w:t>
      </w:r>
      <w:proofErr w:type="spellEnd"/>
      <w:r>
        <w:t xml:space="preserve">, </w:t>
      </w:r>
      <w:proofErr w:type="spellStart"/>
      <w:r>
        <w:t>aeroderivative</w:t>
      </w:r>
      <w:proofErr w:type="spellEnd"/>
      <w:r>
        <w:t xml:space="preserve"> and intercooled all looked the same and wondered if there was anything to distinguish between them</w:t>
      </w:r>
      <w:r w:rsidR="00D31D2B">
        <w:t xml:space="preserve">. </w:t>
      </w:r>
      <w:r>
        <w:t>Simmons responded that there are differences in cost, heat rate, and other characteristics, and that we will be talking through those later in the presentation.</w:t>
      </w:r>
    </w:p>
    <w:p w:rsidR="00755F56" w:rsidRDefault="001F4E1B" w:rsidP="00DE0572">
      <w:r>
        <w:t xml:space="preserve">In response to </w:t>
      </w:r>
      <w:r w:rsidR="005F149E">
        <w:t xml:space="preserve">a </w:t>
      </w:r>
      <w:r>
        <w:t>question</w:t>
      </w:r>
      <w:r w:rsidR="005F149E">
        <w:t xml:space="preserve"> about advanced CCCT being able to serve a hydro firming function (even though it wouldn’t be the primary purpose or investment reason)</w:t>
      </w:r>
      <w:r>
        <w:t xml:space="preserve">, </w:t>
      </w:r>
      <w:r w:rsidR="00DE0572">
        <w:t xml:space="preserve">Simmons </w:t>
      </w:r>
      <w:r>
        <w:t>said</w:t>
      </w:r>
      <w:r w:rsidR="00DE0572">
        <w:t xml:space="preserve"> that the idea </w:t>
      </w:r>
      <w:r w:rsidR="005F149E">
        <w:t>with</w:t>
      </w:r>
      <w:r w:rsidR="00DE0572">
        <w:t xml:space="preserve"> the hydro firming category is </w:t>
      </w:r>
      <w:r w:rsidR="00762FC5">
        <w:t xml:space="preserve">that </w:t>
      </w:r>
      <w:r w:rsidR="005F149E">
        <w:t>it would be</w:t>
      </w:r>
      <w:r w:rsidR="00DE0572">
        <w:t xml:space="preserve"> a unit that may sit unused for years </w:t>
      </w:r>
      <w:r w:rsidR="005F149E">
        <w:t>and only be run during poor hydro years</w:t>
      </w:r>
      <w:r w:rsidR="00D31D2B">
        <w:t xml:space="preserve">. </w:t>
      </w:r>
      <w:r w:rsidR="005F149E">
        <w:t xml:space="preserve">An advanced CCCT </w:t>
      </w:r>
      <w:proofErr w:type="gramStart"/>
      <w:r w:rsidR="005F149E">
        <w:t>could potentially be used</w:t>
      </w:r>
      <w:proofErr w:type="gramEnd"/>
      <w:r w:rsidR="005F149E">
        <w:t xml:space="preserve"> in that way, but in this scenario, in general, it would not be operated for that purpose – we would expect it to serve </w:t>
      </w:r>
      <w:proofErr w:type="spellStart"/>
      <w:r w:rsidR="005F149E">
        <w:t>baseload</w:t>
      </w:r>
      <w:proofErr w:type="spellEnd"/>
      <w:r w:rsidR="00755F56">
        <w:t>.</w:t>
      </w:r>
    </w:p>
    <w:p w:rsidR="00DE0572" w:rsidRDefault="00DE0572" w:rsidP="00DE0572">
      <w:pPr>
        <w:pStyle w:val="Heading2"/>
      </w:pPr>
      <w:r>
        <w:t>Historical Peaking Plant Additions in the Region (Megawatts)</w:t>
      </w:r>
    </w:p>
    <w:p w:rsidR="00C07D72" w:rsidRDefault="00DE0572" w:rsidP="00DE0572">
      <w:r>
        <w:t xml:space="preserve">Gillian Charles reviewed the graph on </w:t>
      </w:r>
      <w:r w:rsidR="00FE5B13">
        <w:t>slide</w:t>
      </w:r>
      <w:r>
        <w:t xml:space="preserve"> 5</w:t>
      </w:r>
      <w:r w:rsidR="005F149E">
        <w:t xml:space="preserve"> showing the historical </w:t>
      </w:r>
      <w:r w:rsidR="000F12E8">
        <w:t>additions of natural gas peaking plants in the region</w:t>
      </w:r>
      <w:r w:rsidR="00D31D2B">
        <w:t xml:space="preserve">. </w:t>
      </w:r>
      <w:r w:rsidR="000F12E8">
        <w:t xml:space="preserve">Charles noted a transition from the 1970’s and </w:t>
      </w:r>
      <w:proofErr w:type="gramStart"/>
      <w:r w:rsidR="000F12E8">
        <w:t>1980’s</w:t>
      </w:r>
      <w:proofErr w:type="gramEnd"/>
      <w:r w:rsidR="000F12E8">
        <w:t xml:space="preserve"> when frame units were primarily built, to the 2000’s when there was more diversity in the technologies to include </w:t>
      </w:r>
      <w:proofErr w:type="spellStart"/>
      <w:r w:rsidR="000F12E8">
        <w:t>aeroderivative</w:t>
      </w:r>
      <w:proofErr w:type="spellEnd"/>
      <w:r w:rsidR="000F12E8">
        <w:t xml:space="preserve"> and reciprocating engine units.</w:t>
      </w:r>
    </w:p>
    <w:p w:rsidR="00C07D72" w:rsidRDefault="00DE0572" w:rsidP="00DE0572">
      <w:r>
        <w:t>Greg Nothstein with the</w:t>
      </w:r>
      <w:r w:rsidRPr="00940801">
        <w:t xml:space="preserve"> Washington Department of Commerce </w:t>
      </w:r>
      <w:r>
        <w:t xml:space="preserve">asked if some of the older plants </w:t>
      </w:r>
      <w:r w:rsidR="0096517F">
        <w:t xml:space="preserve">in the graph </w:t>
      </w:r>
      <w:r>
        <w:t>are still in operation</w:t>
      </w:r>
      <w:r w:rsidR="00D31D2B">
        <w:t xml:space="preserve">. </w:t>
      </w:r>
      <w:r>
        <w:t xml:space="preserve">Charles responded that the plants </w:t>
      </w:r>
      <w:r w:rsidR="0096517F">
        <w:t xml:space="preserve">listed </w:t>
      </w:r>
      <w:r>
        <w:t xml:space="preserve">on the </w:t>
      </w:r>
      <w:r w:rsidR="00220D8F">
        <w:t>slide</w:t>
      </w:r>
      <w:r>
        <w:t xml:space="preserve"> are still operating</w:t>
      </w:r>
      <w:r w:rsidR="00C07D72">
        <w:t>.</w:t>
      </w:r>
    </w:p>
    <w:p w:rsidR="00DE0572" w:rsidRDefault="00DE0572" w:rsidP="00DE0572">
      <w:pPr>
        <w:pStyle w:val="Heading2"/>
      </w:pPr>
      <w:r>
        <w:lastRenderedPageBreak/>
        <w:t>Overnight Capital Cost Assumptions and Normalizations</w:t>
      </w:r>
    </w:p>
    <w:p w:rsidR="00DE0572" w:rsidRDefault="00DE0572" w:rsidP="00DE0572">
      <w:pPr>
        <w:pStyle w:val="Heading3"/>
      </w:pPr>
      <w:r>
        <w:t>The Development of Overnight Capital Cost Estimates for the Reference Plant</w:t>
      </w:r>
    </w:p>
    <w:p w:rsidR="00C07D72" w:rsidRDefault="00DE0572" w:rsidP="00DE0572">
      <w:r>
        <w:t xml:space="preserve">Charles </w:t>
      </w:r>
      <w:r w:rsidR="00AD0CBA">
        <w:t>introduced the next topic</w:t>
      </w:r>
      <w:r w:rsidR="00455F8A">
        <w:t xml:space="preserve">, an overview of the methodology used to develop </w:t>
      </w:r>
      <w:r w:rsidR="00AD0CBA">
        <w:t xml:space="preserve">overnight </w:t>
      </w:r>
      <w:r w:rsidR="00455F8A">
        <w:t xml:space="preserve">capital cost estimates and to </w:t>
      </w:r>
      <w:r w:rsidR="00AD0CBA">
        <w:t xml:space="preserve">discuss a few of the assumptions </w:t>
      </w:r>
      <w:r w:rsidR="00656EFD">
        <w:t>and normalizations used that</w:t>
      </w:r>
      <w:r w:rsidR="00AD0CBA">
        <w:t xml:space="preserve"> have </w:t>
      </w:r>
      <w:r w:rsidR="00656EFD">
        <w:t xml:space="preserve">the potential to </w:t>
      </w:r>
      <w:r w:rsidR="00AD0CBA">
        <w:t>significant</w:t>
      </w:r>
      <w:r w:rsidR="00656EFD">
        <w:t>ly affect</w:t>
      </w:r>
      <w:r w:rsidR="00AD0CBA">
        <w:t xml:space="preserve"> the outcome of the </w:t>
      </w:r>
      <w:r>
        <w:t xml:space="preserve">final overnight </w:t>
      </w:r>
      <w:r w:rsidR="00507378">
        <w:t xml:space="preserve">capital </w:t>
      </w:r>
      <w:r>
        <w:t>cost estimates</w:t>
      </w:r>
      <w:r w:rsidR="00C07D72">
        <w:t>.</w:t>
      </w:r>
    </w:p>
    <w:p w:rsidR="00C07D72" w:rsidRDefault="00656EFD" w:rsidP="00DE0572">
      <w:r>
        <w:t>As a review, Charles described how the Council develops overnight capital cost estimates for reference plants</w:t>
      </w:r>
      <w:r w:rsidR="00D31D2B">
        <w:t xml:space="preserve">. </w:t>
      </w:r>
      <w:r w:rsidR="00DE0572">
        <w:t>Charles said the Council gathers cost-related data</w:t>
      </w:r>
      <w:r w:rsidR="00851834">
        <w:t>—</w:t>
      </w:r>
      <w:r w:rsidR="00DE0572">
        <w:t>such</w:t>
      </w:r>
      <w:r w:rsidR="00851834">
        <w:t xml:space="preserve"> </w:t>
      </w:r>
      <w:r w:rsidR="00DE0572">
        <w:t>as pre-construction costs and as-built costs for specific power plants</w:t>
      </w:r>
      <w:r w:rsidR="00851834">
        <w:t>—</w:t>
      </w:r>
      <w:r w:rsidR="00DE0572">
        <w:t>from</w:t>
      </w:r>
      <w:r w:rsidR="00851834">
        <w:t xml:space="preserve"> </w:t>
      </w:r>
      <w:r w:rsidR="00DE0572">
        <w:t>several sources includ</w:t>
      </w:r>
      <w:r>
        <w:t>ing</w:t>
      </w:r>
      <w:r w:rsidR="00DE0572">
        <w:t xml:space="preserve"> the media, press releases, developer and utility websites, commission filings, utility integrated resource plans (IRPs) and generic reports</w:t>
      </w:r>
      <w:r w:rsidR="00C07D72">
        <w:t>.</w:t>
      </w:r>
    </w:p>
    <w:p w:rsidR="00C07D72" w:rsidRDefault="00DE0572" w:rsidP="00DE0572">
      <w:r>
        <w:t xml:space="preserve">Charles stated the data that the Council </w:t>
      </w:r>
      <w:r w:rsidR="00656EFD">
        <w:t xml:space="preserve">gathers is </w:t>
      </w:r>
      <w:r>
        <w:t xml:space="preserve">often in different vintages, year-dollars and plant configurations. She said the Council is </w:t>
      </w:r>
      <w:r w:rsidR="00656EFD">
        <w:t xml:space="preserve">essentially </w:t>
      </w:r>
      <w:r>
        <w:t>trying to normalize the data points to the selected reference plant for the Seventh Power Plan</w:t>
      </w:r>
      <w:r w:rsidR="00C07D72">
        <w:t>.</w:t>
      </w:r>
    </w:p>
    <w:p w:rsidR="00C07D72" w:rsidRDefault="00DE0572" w:rsidP="00DE0572">
      <w:r w:rsidRPr="001E2C98">
        <w:t xml:space="preserve">James Gall with </w:t>
      </w:r>
      <w:proofErr w:type="spellStart"/>
      <w:r w:rsidRPr="001E2C98">
        <w:t>Avista</w:t>
      </w:r>
      <w:proofErr w:type="spellEnd"/>
      <w:r>
        <w:t xml:space="preserve"> stated his organization acquired a software program for its upcoming IRP that develops </w:t>
      </w:r>
      <w:r w:rsidR="00C402EC">
        <w:t xml:space="preserve">capital and O&amp;M </w:t>
      </w:r>
      <w:r>
        <w:t>cost information based on the type of plant, its location and other factors</w:t>
      </w:r>
      <w:r w:rsidR="00C07D72">
        <w:t xml:space="preserve">. </w:t>
      </w:r>
      <w:r>
        <w:t xml:space="preserve">He said it also keeps up with market-related information and offers a third party point of view. Gall suggested the software </w:t>
      </w:r>
      <w:r w:rsidR="00EC17B6">
        <w:t>might</w:t>
      </w:r>
      <w:r>
        <w:t xml:space="preserve"> benefit the Council so it can double-check its numbers regarding costs. He said </w:t>
      </w:r>
      <w:proofErr w:type="gramStart"/>
      <w:r w:rsidR="00016E11">
        <w:t>he’</w:t>
      </w:r>
      <w:r w:rsidR="00351C3F">
        <w:t>d</w:t>
      </w:r>
      <w:proofErr w:type="gramEnd"/>
      <w:r>
        <w:t xml:space="preserve"> send Charles an email with more information about the </w:t>
      </w:r>
      <w:r w:rsidR="00DB28E4">
        <w:t xml:space="preserve">software </w:t>
      </w:r>
      <w:r>
        <w:t>program</w:t>
      </w:r>
      <w:r w:rsidR="00C07D72">
        <w:t>.</w:t>
      </w:r>
    </w:p>
    <w:p w:rsidR="00190791" w:rsidRDefault="00190791" w:rsidP="00DE0572">
      <w:r>
        <w:t xml:space="preserve">Charles explained that the data </w:t>
      </w:r>
      <w:proofErr w:type="gramStart"/>
      <w:r>
        <w:t>is normalized</w:t>
      </w:r>
      <w:proofErr w:type="gramEnd"/>
      <w:r>
        <w:t xml:space="preserve"> to common year 2012 dollars (the year-dollar for the Seventh Power Plan), ISO</w:t>
      </w:r>
      <w:r>
        <w:rPr>
          <w:rStyle w:val="FootnoteReference"/>
        </w:rPr>
        <w:footnoteReference w:id="1"/>
      </w:r>
      <w:r>
        <w:t xml:space="preserve"> capacity and heat rate values, and a typical configuration for the Pacific Northwest</w:t>
      </w:r>
      <w:r w:rsidR="00D31D2B">
        <w:t xml:space="preserve">. </w:t>
      </w:r>
      <w:r>
        <w:t xml:space="preserve">Once all of data points </w:t>
      </w:r>
      <w:proofErr w:type="gramStart"/>
      <w:r>
        <w:t>are normalized</w:t>
      </w:r>
      <w:proofErr w:type="gramEnd"/>
      <w:r>
        <w:t>, they are plotted on a chart and reviewed for trends and outliers.</w:t>
      </w:r>
    </w:p>
    <w:p w:rsidR="00190791" w:rsidRDefault="003A4BFA" w:rsidP="00DE0572">
      <w:r>
        <w:t>Charles briefly reviewed the reference sources on slide 8, noting that the California Energy Commission’s latest report was just released and had not yet been included in this round of assumptions.</w:t>
      </w:r>
    </w:p>
    <w:p w:rsidR="00DE0572" w:rsidRDefault="00DE0572" w:rsidP="00DE0572">
      <w:pPr>
        <w:pStyle w:val="Heading3"/>
      </w:pPr>
      <w:r>
        <w:t xml:space="preserve">Some Assumptions May Have a Significant Effect on the Final Estimate of Capital Cost </w:t>
      </w:r>
    </w:p>
    <w:p w:rsidR="0056390E" w:rsidRDefault="00DE0572" w:rsidP="00DE0572">
      <w:r>
        <w:t xml:space="preserve">Charles </w:t>
      </w:r>
      <w:r w:rsidR="003A4BFA">
        <w:t>reiterated that staff was looking for feedback on the assumptions used when normalizing data</w:t>
      </w:r>
      <w:r w:rsidR="00D31D2B">
        <w:t xml:space="preserve">. </w:t>
      </w:r>
      <w:r w:rsidR="003A4BFA">
        <w:t xml:space="preserve">Two in particular that can have a significant effect on the final estimate of capital cost are the </w:t>
      </w:r>
      <w:proofErr w:type="gramStart"/>
      <w:r w:rsidR="003A4BFA">
        <w:t>unit scaling</w:t>
      </w:r>
      <w:proofErr w:type="gramEnd"/>
      <w:r w:rsidR="003A4BFA">
        <w:t xml:space="preserve"> factor and owner’s cost assumption</w:t>
      </w:r>
      <w:r w:rsidR="0056390E">
        <w:t>.</w:t>
      </w:r>
    </w:p>
    <w:p w:rsidR="00C07D72" w:rsidRDefault="000F7001" w:rsidP="00DE0572">
      <w:r>
        <w:t xml:space="preserve">The </w:t>
      </w:r>
      <w:proofErr w:type="gramStart"/>
      <w:r>
        <w:t>unit scaling</w:t>
      </w:r>
      <w:proofErr w:type="gramEnd"/>
      <w:r>
        <w:t xml:space="preserve"> factor is used to convert </w:t>
      </w:r>
      <w:r w:rsidR="00B12D70">
        <w:t>the plant configuration of the data points to the reference plant configuration</w:t>
      </w:r>
      <w:r w:rsidR="0056390E">
        <w:t xml:space="preserve">. </w:t>
      </w:r>
      <w:proofErr w:type="gramStart"/>
      <w:r w:rsidR="009D1A35">
        <w:t>The more units in a project, the greater the assumed economies of scale</w:t>
      </w:r>
      <w:r w:rsidR="00A40A7B">
        <w:t xml:space="preserve"> due to shared infrastructure costs</w:t>
      </w:r>
      <w:r w:rsidR="0056390E">
        <w:t>.</w:t>
      </w:r>
      <w:proofErr w:type="gramEnd"/>
      <w:r w:rsidR="0056390E">
        <w:t xml:space="preserve"> </w:t>
      </w:r>
      <w:r w:rsidR="00B12D70">
        <w:t xml:space="preserve">For example, </w:t>
      </w:r>
      <w:r w:rsidR="009D1A35">
        <w:t xml:space="preserve">for the Seventh Power Plan, </w:t>
      </w:r>
      <w:r w:rsidR="00B12D70">
        <w:t xml:space="preserve">the </w:t>
      </w:r>
      <w:r w:rsidR="009D1A35">
        <w:t xml:space="preserve">proposed </w:t>
      </w:r>
      <w:r w:rsidR="00B12D70">
        <w:t>intercooled reference plant is a 2-unit</w:t>
      </w:r>
      <w:r w:rsidR="009D1A35">
        <w:t xml:space="preserve"> plant</w:t>
      </w:r>
      <w:r w:rsidR="00B12D70">
        <w:t xml:space="preserve"> </w:t>
      </w:r>
      <w:r w:rsidR="009D1A35">
        <w:t>configuration, whereas many of the data points are for single unit plant configuration</w:t>
      </w:r>
      <w:r w:rsidR="0056390E">
        <w:t xml:space="preserve">. </w:t>
      </w:r>
      <w:r w:rsidR="009D1A35">
        <w:t xml:space="preserve">In order to normalize the single unit intercooled data points to the reference plant, a scaling factor </w:t>
      </w:r>
      <w:r w:rsidR="00A40A7B">
        <w:t>is</w:t>
      </w:r>
      <w:r w:rsidR="009D1A35">
        <w:t xml:space="preserve"> applied</w:t>
      </w:r>
      <w:r w:rsidR="0056390E">
        <w:t xml:space="preserve">. </w:t>
      </w:r>
      <w:r w:rsidR="00A40A7B">
        <w:t xml:space="preserve">The preliminary assumption is that </w:t>
      </w:r>
      <w:r w:rsidR="00DE0572">
        <w:t>single-unit plants cost 15 percent more per kilowatt than multi-unit plants</w:t>
      </w:r>
      <w:r w:rsidR="0056390E">
        <w:t xml:space="preserve"> for gas peaking turbines</w:t>
      </w:r>
      <w:r w:rsidR="00C07D72">
        <w:t>.</w:t>
      </w:r>
      <w:r w:rsidR="009D1A35">
        <w:t xml:space="preserve"> </w:t>
      </w:r>
      <w:r w:rsidR="00A40A7B">
        <w:t xml:space="preserve">In contrast, the Sixth Power Plan used a 30% </w:t>
      </w:r>
      <w:r w:rsidR="00A40A7B">
        <w:lastRenderedPageBreak/>
        <w:t>scaling factor based on a NY ISO report</w:t>
      </w:r>
      <w:r w:rsidR="0056390E">
        <w:t xml:space="preserve">. </w:t>
      </w:r>
      <w:r w:rsidR="00A40A7B">
        <w:t xml:space="preserve">The current assumption of 15% </w:t>
      </w:r>
      <w:proofErr w:type="gramStart"/>
      <w:r w:rsidR="00A40A7B">
        <w:t>is based</w:t>
      </w:r>
      <w:proofErr w:type="gramEnd"/>
      <w:r w:rsidR="00A40A7B">
        <w:t xml:space="preserve"> on a revision to the report.</w:t>
      </w:r>
    </w:p>
    <w:p w:rsidR="00A65B32" w:rsidRDefault="00DE0572" w:rsidP="00DE0572">
      <w:r>
        <w:t xml:space="preserve">Fred </w:t>
      </w:r>
      <w:proofErr w:type="spellStart"/>
      <w:r>
        <w:t>Heutte</w:t>
      </w:r>
      <w:proofErr w:type="spellEnd"/>
      <w:r>
        <w:t xml:space="preserve"> with the Northwest Energy Coalition said the 15 percent-related assumption for the Seventh Power Plan makes sense for larger units. He asked about the assumption for smaller units, including </w:t>
      </w:r>
      <w:proofErr w:type="spellStart"/>
      <w:r>
        <w:t>recips</w:t>
      </w:r>
      <w:proofErr w:type="spellEnd"/>
      <w:r w:rsidR="0056390E">
        <w:t xml:space="preserve">. </w:t>
      </w:r>
      <w:r w:rsidR="00A40A7B">
        <w:t xml:space="preserve">Charles responded </w:t>
      </w:r>
      <w:r w:rsidR="0056390E">
        <w:t xml:space="preserve">the 15% assumption is for frame, </w:t>
      </w:r>
      <w:proofErr w:type="spellStart"/>
      <w:r w:rsidR="0056390E">
        <w:t>aeroderivative</w:t>
      </w:r>
      <w:proofErr w:type="spellEnd"/>
      <w:r w:rsidR="0056390E">
        <w:t xml:space="preserve">, and intercooled units. </w:t>
      </w:r>
      <w:r>
        <w:t xml:space="preserve">Simmons answered that </w:t>
      </w:r>
      <w:r w:rsidR="0056390E">
        <w:t xml:space="preserve">reciprocating engines are more modular </w:t>
      </w:r>
      <w:r w:rsidR="007717E7">
        <w:t xml:space="preserve">than the other gas peaking </w:t>
      </w:r>
      <w:proofErr w:type="gramStart"/>
      <w:r w:rsidR="007717E7">
        <w:t>units</w:t>
      </w:r>
      <w:proofErr w:type="gramEnd"/>
      <w:r w:rsidR="007717E7">
        <w:t xml:space="preserve"> </w:t>
      </w:r>
      <w:r w:rsidR="0056390E">
        <w:t xml:space="preserve">and </w:t>
      </w:r>
      <w:r w:rsidR="007717E7">
        <w:t>therefore the scaling factor is not applicable</w:t>
      </w:r>
      <w:r w:rsidR="00A65B32">
        <w:t xml:space="preserve">. </w:t>
      </w:r>
      <w:r w:rsidR="007717E7">
        <w:t>There is another conversion factor used for combined cycle plants to scale the configuration of gas units and steam units (2x1 vs. 1x1)</w:t>
      </w:r>
      <w:r w:rsidR="00A65B32">
        <w:t>.</w:t>
      </w:r>
    </w:p>
    <w:p w:rsidR="00C07D72" w:rsidRDefault="007717E7" w:rsidP="00DE0572">
      <w:r>
        <w:t xml:space="preserve">The second significant assumption is the application of </w:t>
      </w:r>
      <w:proofErr w:type="gramStart"/>
      <w:r>
        <w:t>owner’s</w:t>
      </w:r>
      <w:proofErr w:type="gramEnd"/>
      <w:r>
        <w:t xml:space="preserve"> cost</w:t>
      </w:r>
      <w:r w:rsidR="00A65B32">
        <w:t xml:space="preserve">. </w:t>
      </w:r>
      <w:r w:rsidR="00C5656B">
        <w:t xml:space="preserve">Charles </w:t>
      </w:r>
      <w:r w:rsidR="00DE0572">
        <w:t>said that in addition to considering engineering, procurement and construction (EPC) costs, the Council is taking into account project development</w:t>
      </w:r>
      <w:r w:rsidR="00F02AD3">
        <w:t>-</w:t>
      </w:r>
      <w:r w:rsidR="00DE0572">
        <w:t>, land</w:t>
      </w:r>
      <w:r w:rsidR="00F02AD3">
        <w:t>-</w:t>
      </w:r>
      <w:r w:rsidR="00DE0572">
        <w:t>, infrastructure</w:t>
      </w:r>
      <w:r w:rsidR="00F02AD3">
        <w:t>-</w:t>
      </w:r>
      <w:r w:rsidR="00DE0572">
        <w:t xml:space="preserve"> and financing</w:t>
      </w:r>
      <w:r w:rsidR="00F02AD3">
        <w:t>-related</w:t>
      </w:r>
      <w:r w:rsidR="00DE0572">
        <w:t xml:space="preserve"> costs. Charles </w:t>
      </w:r>
      <w:r w:rsidR="007970A5">
        <w:t>stated</w:t>
      </w:r>
      <w:r w:rsidR="00DE0572">
        <w:t xml:space="preserve"> the Council assumes </w:t>
      </w:r>
      <w:r w:rsidR="00C25990">
        <w:t xml:space="preserve">that </w:t>
      </w:r>
      <w:r w:rsidR="00DE0572">
        <w:t xml:space="preserve">owner’s costs are not </w:t>
      </w:r>
      <w:r w:rsidR="00C5656B">
        <w:t xml:space="preserve">included </w:t>
      </w:r>
      <w:r w:rsidR="00DE0572">
        <w:t xml:space="preserve">in </w:t>
      </w:r>
      <w:r w:rsidR="00C5656B">
        <w:t xml:space="preserve">preconstruction </w:t>
      </w:r>
      <w:r w:rsidR="00DE0572">
        <w:t xml:space="preserve">cost estimates unless specifically noted, so </w:t>
      </w:r>
      <w:r w:rsidR="001E3482">
        <w:t>they</w:t>
      </w:r>
      <w:r w:rsidR="00DE0572">
        <w:t xml:space="preserve"> appl</w:t>
      </w:r>
      <w:r w:rsidR="001E3482">
        <w:t xml:space="preserve">y </w:t>
      </w:r>
      <w:r w:rsidR="00DE0572">
        <w:t>an adjustment factor to include owner’s costs in the overnight capital cost estimates. S</w:t>
      </w:r>
      <w:r w:rsidR="006A1B42">
        <w:t>he s</w:t>
      </w:r>
      <w:r w:rsidR="00DE0572">
        <w:t xml:space="preserve">aid </w:t>
      </w:r>
      <w:r w:rsidR="00851834">
        <w:t>th</w:t>
      </w:r>
      <w:r w:rsidR="00C5656B">
        <w:t>at for the</w:t>
      </w:r>
      <w:r w:rsidR="00507378">
        <w:t xml:space="preserve"> </w:t>
      </w:r>
      <w:r w:rsidR="00DE0572">
        <w:t>Seventh Power Plan</w:t>
      </w:r>
      <w:r w:rsidR="00C5656B">
        <w:t>, staff</w:t>
      </w:r>
      <w:r w:rsidR="00DE0572">
        <w:t xml:space="preserve"> </w:t>
      </w:r>
      <w:r w:rsidR="00C5656B">
        <w:t xml:space="preserve">is </w:t>
      </w:r>
      <w:r w:rsidR="00DE0572">
        <w:t xml:space="preserve">currently </w:t>
      </w:r>
      <w:r w:rsidR="00C5656B">
        <w:t xml:space="preserve">assuming </w:t>
      </w:r>
      <w:r w:rsidR="00DE0572">
        <w:t xml:space="preserve">the owner’s </w:t>
      </w:r>
      <w:r w:rsidR="006A1B42">
        <w:t>costs are</w:t>
      </w:r>
      <w:r w:rsidR="00DE0572">
        <w:t xml:space="preserve"> 25 percent of the EPC</w:t>
      </w:r>
      <w:r w:rsidR="00C5656B">
        <w:t xml:space="preserve"> (the Sixth Power Plan used 12%)</w:t>
      </w:r>
      <w:r w:rsidR="00A65B32">
        <w:t xml:space="preserve">. </w:t>
      </w:r>
      <w:r w:rsidR="00C5656B">
        <w:t>She explained that the 25% is more consistent with other generic reports and IRPs.</w:t>
      </w:r>
    </w:p>
    <w:p w:rsidR="00C07D72" w:rsidRDefault="00DE0572" w:rsidP="00DE0572">
      <w:r>
        <w:t xml:space="preserve">Elizabeth Hossner with Puget Sound Energy said her </w:t>
      </w:r>
      <w:r w:rsidR="00851834">
        <w:t>agency</w:t>
      </w:r>
      <w:r>
        <w:t xml:space="preserve"> uses Black &amp; Veatch for its cost estimates. She said a Black &amp; Veatch representative told </w:t>
      </w:r>
      <w:r w:rsidR="00995B40">
        <w:t xml:space="preserve">her agency </w:t>
      </w:r>
      <w:r w:rsidR="00851834">
        <w:t>the</w:t>
      </w:r>
      <w:r>
        <w:t xml:space="preserve"> owner’s costs could range between 20 to 50 percent. Hossner explained </w:t>
      </w:r>
      <w:r w:rsidR="005740A0">
        <w:t xml:space="preserve">that </w:t>
      </w:r>
      <w:r>
        <w:t xml:space="preserve">the 20 percent figure is based on an existing </w:t>
      </w:r>
      <w:proofErr w:type="spellStart"/>
      <w:r w:rsidR="00C5656B">
        <w:t>b</w:t>
      </w:r>
      <w:r>
        <w:t>rownfield</w:t>
      </w:r>
      <w:proofErr w:type="spellEnd"/>
      <w:r>
        <w:t xml:space="preserve"> project and the 50 percent </w:t>
      </w:r>
      <w:r w:rsidR="00CE0957">
        <w:t xml:space="preserve">figure </w:t>
      </w:r>
      <w:r>
        <w:t xml:space="preserve">is a </w:t>
      </w:r>
      <w:proofErr w:type="spellStart"/>
      <w:proofErr w:type="gramStart"/>
      <w:r w:rsidR="00C5656B">
        <w:t>g</w:t>
      </w:r>
      <w:r>
        <w:t>reenfield</w:t>
      </w:r>
      <w:proofErr w:type="spellEnd"/>
      <w:proofErr w:type="gramEnd"/>
      <w:r>
        <w:t xml:space="preserve"> project. She said Puget Sound Energy uses a 40 percent assumption for owner’s costs</w:t>
      </w:r>
      <w:r w:rsidR="00C07D72">
        <w:t>.</w:t>
      </w:r>
    </w:p>
    <w:p w:rsidR="00C5656B" w:rsidRDefault="00DE0572" w:rsidP="00DE0572">
      <w:r>
        <w:t xml:space="preserve">Gall said the software that </w:t>
      </w:r>
      <w:proofErr w:type="spellStart"/>
      <w:r>
        <w:t>Avista</w:t>
      </w:r>
      <w:proofErr w:type="spellEnd"/>
      <w:r>
        <w:t xml:space="preserve"> </w:t>
      </w:r>
      <w:r w:rsidR="003F5DA7">
        <w:t xml:space="preserve">uses </w:t>
      </w:r>
      <w:r>
        <w:t xml:space="preserve">calculated the owner’s costs </w:t>
      </w:r>
      <w:r w:rsidR="00744914">
        <w:t>to be</w:t>
      </w:r>
      <w:r>
        <w:t xml:space="preserve"> 25 to 30 percent for a combined cycle plant</w:t>
      </w:r>
      <w:r w:rsidR="00C07D72">
        <w:t>.</w:t>
      </w:r>
    </w:p>
    <w:p w:rsidR="00DE0572" w:rsidRDefault="00DE0572" w:rsidP="00DE0572">
      <w:pPr>
        <w:pStyle w:val="Heading2"/>
      </w:pPr>
      <w:r>
        <w:t>Draft Seventh Plan Reference Plants and Capital Cost</w:t>
      </w:r>
    </w:p>
    <w:p w:rsidR="00DE0572" w:rsidRDefault="00DE0572" w:rsidP="00DE0572">
      <w:pPr>
        <w:pStyle w:val="Heading3"/>
      </w:pPr>
      <w:r>
        <w:t>Proposed Configuration for 7</w:t>
      </w:r>
      <w:r w:rsidRPr="00B21108">
        <w:rPr>
          <w:vertAlign w:val="superscript"/>
        </w:rPr>
        <w:t>th</w:t>
      </w:r>
      <w:r>
        <w:t xml:space="preserve"> Plan Reference Plants</w:t>
      </w:r>
    </w:p>
    <w:p w:rsidR="00C07D72" w:rsidRDefault="00DE0572" w:rsidP="00DE0572">
      <w:r>
        <w:t xml:space="preserve">Charles reviewed </w:t>
      </w:r>
      <w:r w:rsidR="00FE5B13">
        <w:t>slide</w:t>
      </w:r>
      <w:r>
        <w:t xml:space="preserve"> 11. She noted that she showed the same table </w:t>
      </w:r>
      <w:r w:rsidR="003C772F">
        <w:t>at</w:t>
      </w:r>
      <w:r>
        <w:t xml:space="preserve"> the last GRAC meeting, but the proposed configuratio</w:t>
      </w:r>
      <w:r w:rsidR="003C772F">
        <w:t xml:space="preserve">n for </w:t>
      </w:r>
      <w:r w:rsidR="00A213D5">
        <w:t>the frame unit</w:t>
      </w:r>
      <w:r w:rsidR="003C772F">
        <w:t xml:space="preserve"> </w:t>
      </w:r>
      <w:r w:rsidR="000F2EF6">
        <w:t xml:space="preserve">reference plant </w:t>
      </w:r>
      <w:r w:rsidR="003C772F">
        <w:t>is different—</w:t>
      </w:r>
      <w:proofErr w:type="gramStart"/>
      <w:r>
        <w:t>it’s</w:t>
      </w:r>
      <w:proofErr w:type="gramEnd"/>
      <w:r w:rsidR="003C772F">
        <w:t xml:space="preserve"> </w:t>
      </w:r>
      <w:r>
        <w:t>an F-class frame instead of an E-class frame</w:t>
      </w:r>
      <w:r w:rsidR="00305BCF">
        <w:t xml:space="preserve">. </w:t>
      </w:r>
      <w:r w:rsidR="00A213D5">
        <w:t>She explained that preliminary thinking was to configure gas peaking reference plants to resemble the capacity of Port Westward II (~220 MW), the most recent peaking unit to be developed in the region.</w:t>
      </w:r>
    </w:p>
    <w:p w:rsidR="00C07D72" w:rsidRDefault="00DE0572" w:rsidP="00DE0572">
      <w:proofErr w:type="spellStart"/>
      <w:r w:rsidRPr="00940801">
        <w:t>Tomás</w:t>
      </w:r>
      <w:proofErr w:type="spellEnd"/>
      <w:r w:rsidRPr="00940801">
        <w:t xml:space="preserve"> Morrissey</w:t>
      </w:r>
      <w:r>
        <w:t xml:space="preserve"> with the</w:t>
      </w:r>
      <w:r w:rsidRPr="00940801">
        <w:t xml:space="preserve"> Pacific Northwest Utilities Conference Committee</w:t>
      </w:r>
      <w:r w:rsidR="006742FD">
        <w:t xml:space="preserve"> (PNUCC)</w:t>
      </w:r>
      <w:r>
        <w:t xml:space="preserve"> asked if the Council is considering anything smaller than a plant that is around 200 megawatts</w:t>
      </w:r>
      <w:r w:rsidR="00C07D72">
        <w:t>.</w:t>
      </w:r>
    </w:p>
    <w:p w:rsidR="00C07D72" w:rsidRDefault="00DE0572" w:rsidP="00DE0572">
      <w:r>
        <w:t>Charles replied that the reference plants listed are the ones that the Council is going to use for now, but they are open to looking at reference plants that have less capacity</w:t>
      </w:r>
      <w:r w:rsidR="00305BCF">
        <w:t xml:space="preserve">. </w:t>
      </w:r>
      <w:r w:rsidR="00A213D5">
        <w:t>Simmons added that for reference plants, the Council is trying to define what a logical plant would be for the region.</w:t>
      </w:r>
    </w:p>
    <w:p w:rsidR="00C07D72" w:rsidRDefault="00DE0572" w:rsidP="00DE0572">
      <w:r>
        <w:lastRenderedPageBreak/>
        <w:t xml:space="preserve">Charlie Black with the Northwest Power and Conservation Council stated the assumptions </w:t>
      </w:r>
      <w:r w:rsidR="001C6A3E">
        <w:t>would</w:t>
      </w:r>
      <w:r>
        <w:t xml:space="preserve"> go into the Council’s portfolio modeling analysis, which offers a regional look</w:t>
      </w:r>
      <w:r w:rsidR="00C07D72">
        <w:t>.</w:t>
      </w:r>
    </w:p>
    <w:p w:rsidR="00C07D72" w:rsidRDefault="00DE0572" w:rsidP="00DE0572">
      <w:r>
        <w:t>S</w:t>
      </w:r>
      <w:r w:rsidRPr="00940801">
        <w:t>tefan Brown</w:t>
      </w:r>
      <w:r>
        <w:t xml:space="preserve"> with</w:t>
      </w:r>
      <w:r w:rsidRPr="00940801">
        <w:t xml:space="preserve"> Portland General Electric</w:t>
      </w:r>
      <w:r>
        <w:t xml:space="preserve"> (PGE) asked if the Council is modeling </w:t>
      </w:r>
      <w:proofErr w:type="spellStart"/>
      <w:r>
        <w:t>recips</w:t>
      </w:r>
      <w:proofErr w:type="spellEnd"/>
      <w:r>
        <w:t xml:space="preserve"> as individual units</w:t>
      </w:r>
      <w:r w:rsidR="00C07D72">
        <w:t>.</w:t>
      </w:r>
      <w:r w:rsidR="000F2EF6">
        <w:t xml:space="preserve"> </w:t>
      </w:r>
      <w:r>
        <w:t xml:space="preserve">Simmons replied </w:t>
      </w:r>
      <w:r w:rsidR="00624DEE">
        <w:t xml:space="preserve">that </w:t>
      </w:r>
      <w:r>
        <w:t>they are modeling it as one plant with 12 engines</w:t>
      </w:r>
      <w:r w:rsidR="00755F56">
        <w:t xml:space="preserve">. </w:t>
      </w:r>
      <w:r>
        <w:t xml:space="preserve">S. Brown said PGE </w:t>
      </w:r>
      <w:proofErr w:type="gramStart"/>
      <w:r>
        <w:t>isn’t</w:t>
      </w:r>
      <w:proofErr w:type="gramEnd"/>
      <w:r>
        <w:t xml:space="preserve"> planning </w:t>
      </w:r>
      <w:r w:rsidR="002F7C84">
        <w:t>to operate</w:t>
      </w:r>
      <w:r>
        <w:t xml:space="preserve"> the plant in this manner</w:t>
      </w:r>
      <w:r w:rsidR="00305BCF">
        <w:t xml:space="preserve">. </w:t>
      </w:r>
      <w:r>
        <w:t xml:space="preserve">Black </w:t>
      </w:r>
      <w:r w:rsidR="00624DEE">
        <w:t xml:space="preserve">clarified </w:t>
      </w:r>
      <w:r>
        <w:t xml:space="preserve">that the current assumptions on the </w:t>
      </w:r>
      <w:r w:rsidR="00220D8F">
        <w:t>slide</w:t>
      </w:r>
      <w:r>
        <w:t xml:space="preserve"> refer to capital costs, not dispatch costs</w:t>
      </w:r>
      <w:r w:rsidR="00305BCF">
        <w:t xml:space="preserve">. </w:t>
      </w:r>
      <w:r w:rsidR="00624DEE">
        <w:t>Brown agreed this was ok.</w:t>
      </w:r>
    </w:p>
    <w:p w:rsidR="00DE0572" w:rsidRDefault="00DE0572" w:rsidP="00DE0572">
      <w:pPr>
        <w:pStyle w:val="Heading3"/>
      </w:pPr>
      <w:r>
        <w:t>Properties of Frame Technologies</w:t>
      </w:r>
    </w:p>
    <w:p w:rsidR="00C07D72" w:rsidRDefault="00DE0572" w:rsidP="00DE0572">
      <w:r>
        <w:t xml:space="preserve">Charles reviewed </w:t>
      </w:r>
      <w:r w:rsidR="00A679E8">
        <w:t xml:space="preserve">the properties and characteristics of frame technologies on </w:t>
      </w:r>
      <w:r w:rsidR="00FE5B13">
        <w:t>slide</w:t>
      </w:r>
      <w:r>
        <w:t xml:space="preserve"> 12. She pointed out that the information is for single-cycle frame units</w:t>
      </w:r>
      <w:r w:rsidR="00A679E8">
        <w:t xml:space="preserve"> – not for combined cycle units</w:t>
      </w:r>
      <w:r w:rsidR="00C07D72">
        <w:t>.</w:t>
      </w:r>
    </w:p>
    <w:p w:rsidR="000F2EF6" w:rsidRDefault="00A679E8" w:rsidP="00DE0572">
      <w:r>
        <w:t>Huette</w:t>
      </w:r>
      <w:r w:rsidR="00DE0572">
        <w:t xml:space="preserve"> asked for an example of a hydro backup frame</w:t>
      </w:r>
      <w:r w:rsidR="00305BCF">
        <w:t xml:space="preserve">. </w:t>
      </w:r>
      <w:r w:rsidR="00DE0572">
        <w:t xml:space="preserve">King said the historical operating pattern of the Puget </w:t>
      </w:r>
      <w:r>
        <w:t xml:space="preserve">Sound Energy </w:t>
      </w:r>
      <w:r w:rsidR="00DE0572">
        <w:t xml:space="preserve">units </w:t>
      </w:r>
      <w:r>
        <w:t xml:space="preserve">prior to five years ago are fairly typical </w:t>
      </w:r>
      <w:r w:rsidR="00DE0572">
        <w:t>of hydro backup frames because they sat idle for years at a time, except during the completion of required air quality tests. He said that when there was a need for energy, the units operated for periods that lasted several days</w:t>
      </w:r>
      <w:r w:rsidR="00305BCF">
        <w:t xml:space="preserve">. </w:t>
      </w:r>
      <w:r>
        <w:t>Huette added that the</w:t>
      </w:r>
      <w:r w:rsidR="00DE0572">
        <w:t xml:space="preserve"> frame</w:t>
      </w:r>
      <w:r>
        <w:t xml:space="preserve"> units</w:t>
      </w:r>
      <w:r w:rsidR="00DE0572">
        <w:t xml:space="preserve"> </w:t>
      </w:r>
      <w:r w:rsidR="000F2EF6">
        <w:t>have</w:t>
      </w:r>
      <w:r>
        <w:t xml:space="preserve"> had</w:t>
      </w:r>
      <w:r w:rsidR="00DE0572">
        <w:t xml:space="preserve"> a different operational pattern within the last few years, which he</w:t>
      </w:r>
      <w:r w:rsidR="0015355E">
        <w:t xml:space="preserve"> said that he </w:t>
      </w:r>
      <w:r w:rsidR="00DE0572">
        <w:t>assumes is due to lower gas prices</w:t>
      </w:r>
      <w:r w:rsidR="00305BCF">
        <w:t>.</w:t>
      </w:r>
    </w:p>
    <w:p w:rsidR="00DE0572" w:rsidRDefault="00DE0572" w:rsidP="00DE0572">
      <w:pPr>
        <w:pStyle w:val="Heading3"/>
      </w:pPr>
      <w:r>
        <w:t xml:space="preserve">Proposed Frame Reference Plant </w:t>
      </w:r>
    </w:p>
    <w:p w:rsidR="00DE0572" w:rsidRPr="008770C0" w:rsidRDefault="00DE0572" w:rsidP="00DE0572">
      <w:r>
        <w:t xml:space="preserve">Charles reviewed </w:t>
      </w:r>
      <w:r w:rsidR="00FE5B13">
        <w:t>slides</w:t>
      </w:r>
      <w:r>
        <w:t xml:space="preserve"> 13 and 14</w:t>
      </w:r>
      <w:r w:rsidR="00A679E8">
        <w:t>, describing the proposed frame reference plant configuration and characteristics</w:t>
      </w:r>
      <w:r w:rsidR="00604C9E">
        <w:t xml:space="preserve"> – single unit 216 MW nominal capacity GE 7F 5-series</w:t>
      </w:r>
      <w:r>
        <w:t>.</w:t>
      </w:r>
    </w:p>
    <w:p w:rsidR="00DE0572" w:rsidRDefault="00DE0572" w:rsidP="00DE0572">
      <w:r>
        <w:t xml:space="preserve">Referring to construction times in the table on </w:t>
      </w:r>
      <w:r w:rsidR="00FE5B13">
        <w:t>slide</w:t>
      </w:r>
      <w:r>
        <w:t xml:space="preserve"> 14, Charles explained the following terms: </w:t>
      </w:r>
    </w:p>
    <w:p w:rsidR="00C07D72" w:rsidRDefault="00DE0572" w:rsidP="00DE0572">
      <w:pPr>
        <w:pStyle w:val="ListParagraph"/>
        <w:numPr>
          <w:ilvl w:val="0"/>
          <w:numId w:val="41"/>
        </w:numPr>
      </w:pPr>
      <w:r w:rsidRPr="0048430E">
        <w:rPr>
          <w:i/>
        </w:rPr>
        <w:t>Development</w:t>
      </w:r>
      <w:r>
        <w:t xml:space="preserve">: The time between </w:t>
      </w:r>
      <w:r w:rsidR="0048430E">
        <w:t>a</w:t>
      </w:r>
      <w:r>
        <w:t xml:space="preserve"> stated need for </w:t>
      </w:r>
      <w:r w:rsidR="00604C9E">
        <w:t xml:space="preserve">a project </w:t>
      </w:r>
      <w:r>
        <w:t xml:space="preserve">and </w:t>
      </w:r>
      <w:r w:rsidR="0048430E">
        <w:t xml:space="preserve">the creation of </w:t>
      </w:r>
      <w:r>
        <w:t xml:space="preserve">a </w:t>
      </w:r>
      <w:proofErr w:type="gramStart"/>
      <w:r>
        <w:t>contract</w:t>
      </w:r>
      <w:r w:rsidR="0048430E">
        <w:t>;</w:t>
      </w:r>
      <w:proofErr w:type="gramEnd"/>
      <w:r w:rsidR="0048430E">
        <w:t xml:space="preserve"> d</w:t>
      </w:r>
      <w:r>
        <w:t>evelopment time includes feasibility studies, permitting and preliminary engineering</w:t>
      </w:r>
      <w:r w:rsidR="00C07D72">
        <w:t>.</w:t>
      </w:r>
    </w:p>
    <w:p w:rsidR="00DE0572" w:rsidRDefault="00DE0572" w:rsidP="00DE0572">
      <w:pPr>
        <w:pStyle w:val="ListParagraph"/>
        <w:numPr>
          <w:ilvl w:val="0"/>
          <w:numId w:val="41"/>
        </w:numPr>
      </w:pPr>
      <w:r w:rsidRPr="00D011BD">
        <w:rPr>
          <w:i/>
        </w:rPr>
        <w:t>Early construction</w:t>
      </w:r>
      <w:r>
        <w:t xml:space="preserve">: </w:t>
      </w:r>
      <w:r w:rsidR="0048430E">
        <w:t>The completion of f</w:t>
      </w:r>
      <w:r>
        <w:t>inal engineering, the major equipment is ordered and the site is prepared for interconnections, infrastructure and construction.</w:t>
      </w:r>
    </w:p>
    <w:p w:rsidR="00DE0572" w:rsidRDefault="00DE0572" w:rsidP="00DE0572">
      <w:pPr>
        <w:pStyle w:val="ListParagraph"/>
        <w:numPr>
          <w:ilvl w:val="0"/>
          <w:numId w:val="41"/>
        </w:numPr>
      </w:pPr>
      <w:r w:rsidRPr="00D011BD">
        <w:rPr>
          <w:i/>
        </w:rPr>
        <w:t>Committed construction</w:t>
      </w:r>
      <w:r>
        <w:t xml:space="preserve">: The </w:t>
      </w:r>
      <w:r w:rsidR="0048430E">
        <w:t xml:space="preserve">delivery of </w:t>
      </w:r>
      <w:r>
        <w:t xml:space="preserve">major equipment, </w:t>
      </w:r>
      <w:r w:rsidR="0087503E">
        <w:t xml:space="preserve">construction is </w:t>
      </w:r>
      <w:r>
        <w:t>complet</w:t>
      </w:r>
      <w:r w:rsidR="0087503E">
        <w:t>e a</w:t>
      </w:r>
      <w:r>
        <w:t>nd commissioning.</w:t>
      </w:r>
    </w:p>
    <w:p w:rsidR="00C07D72" w:rsidRDefault="00DE0572" w:rsidP="00DE0572">
      <w:r>
        <w:t>Morrissey asked if the plants are capable of running dual fuel</w:t>
      </w:r>
      <w:r w:rsidR="00C07D72">
        <w:t>.</w:t>
      </w:r>
    </w:p>
    <w:p w:rsidR="00C07D72" w:rsidRDefault="00DE0572" w:rsidP="00DE0572">
      <w:r>
        <w:t>Charles replied that some are, but the Council is assuming single fuel for cost purposes</w:t>
      </w:r>
      <w:r w:rsidR="00C07D72">
        <w:t>.</w:t>
      </w:r>
    </w:p>
    <w:p w:rsidR="00C07D72" w:rsidRDefault="00DE0572" w:rsidP="00DE0572">
      <w:r>
        <w:t>Hossner asked if the capital cost ($1,000 per kilowatt) includes the owner’s cost</w:t>
      </w:r>
      <w:r w:rsidR="00C07D72">
        <w:t>.</w:t>
      </w:r>
    </w:p>
    <w:p w:rsidR="00C07D72" w:rsidRDefault="00DE0572" w:rsidP="00DE0572">
      <w:r>
        <w:lastRenderedPageBreak/>
        <w:t>Charles answered that it does include the owner’s cost</w:t>
      </w:r>
      <w:r w:rsidR="00C07D72">
        <w:t>.</w:t>
      </w:r>
    </w:p>
    <w:p w:rsidR="00C07D72" w:rsidRDefault="00DE0572" w:rsidP="00DE0572">
      <w:r>
        <w:t xml:space="preserve">Hossner said Puget Sound Energy </w:t>
      </w:r>
      <w:r w:rsidR="00604C9E">
        <w:t xml:space="preserve">estimates </w:t>
      </w:r>
      <w:proofErr w:type="gramStart"/>
      <w:r w:rsidR="00604C9E">
        <w:t>a</w:t>
      </w:r>
      <w:proofErr w:type="gramEnd"/>
      <w:r w:rsidR="00604C9E">
        <w:t xml:space="preserve"> $837 per kilowatt capital cost figure for a frame unit</w:t>
      </w:r>
      <w:r>
        <w:t>, which includes the owner’s cost</w:t>
      </w:r>
      <w:r w:rsidR="00D431EF">
        <w:t>s</w:t>
      </w:r>
      <w:r>
        <w:t>. She said the E3 report also lists a lower capital cost</w:t>
      </w:r>
      <w:r w:rsidR="00C07D72">
        <w:t>.</w:t>
      </w:r>
    </w:p>
    <w:p w:rsidR="00C07D72" w:rsidRDefault="00DE0572" w:rsidP="00DE0572">
      <w:r>
        <w:t xml:space="preserve">Gall said </w:t>
      </w:r>
      <w:proofErr w:type="spellStart"/>
      <w:r>
        <w:t>Avista’s</w:t>
      </w:r>
      <w:proofErr w:type="spellEnd"/>
      <w:r>
        <w:t xml:space="preserve"> estimates are lower than Puget Sound Energy’s estimates</w:t>
      </w:r>
      <w:r w:rsidR="002C0C02">
        <w:t xml:space="preserve">. </w:t>
      </w:r>
      <w:r w:rsidR="00E266B8">
        <w:t xml:space="preserve">Charles indicated that some of the cost difference </w:t>
      </w:r>
      <w:proofErr w:type="gramStart"/>
      <w:r w:rsidR="00E266B8">
        <w:t>may</w:t>
      </w:r>
      <w:proofErr w:type="gramEnd"/>
      <w:r w:rsidR="00E266B8">
        <w:t xml:space="preserve"> be in the technology modeled, but that she would take these figures into account.</w:t>
      </w:r>
    </w:p>
    <w:p w:rsidR="00DE0572" w:rsidRDefault="00DE0572" w:rsidP="00DE0572">
      <w:pPr>
        <w:pStyle w:val="Heading3"/>
      </w:pPr>
      <w:r>
        <w:t>Preliminary Capital Cost Estimates for Frame Technology</w:t>
      </w:r>
    </w:p>
    <w:p w:rsidR="00C07D72" w:rsidRDefault="00DE0572" w:rsidP="00DE0572">
      <w:r>
        <w:t xml:space="preserve">Charles discussed the graph on </w:t>
      </w:r>
      <w:r w:rsidR="00FE5B13">
        <w:t>slide</w:t>
      </w:r>
      <w:r>
        <w:t xml:space="preserve"> 15</w:t>
      </w:r>
      <w:r w:rsidR="00E266B8">
        <w:t>, displaying the preliminary capital cost estimates for frame technologies</w:t>
      </w:r>
      <w:r>
        <w:t xml:space="preserve">. She said the Council does not have any </w:t>
      </w:r>
      <w:r w:rsidR="00E266B8">
        <w:t xml:space="preserve">new (past five years) </w:t>
      </w:r>
      <w:r>
        <w:t>cost estimates for as-built frame units</w:t>
      </w:r>
      <w:r w:rsidR="00C07D72">
        <w:t>.</w:t>
      </w:r>
    </w:p>
    <w:p w:rsidR="00C07D72" w:rsidRDefault="00DE0572" w:rsidP="00DE0572">
      <w:r>
        <w:t xml:space="preserve">Charles stated that </w:t>
      </w:r>
      <w:r w:rsidR="00E266B8">
        <w:t xml:space="preserve">there is a clear </w:t>
      </w:r>
      <w:r>
        <w:t>disconnect</w:t>
      </w:r>
      <w:r w:rsidR="002A24AB">
        <w:t>s</w:t>
      </w:r>
      <w:r>
        <w:t xml:space="preserve"> between </w:t>
      </w:r>
      <w:r w:rsidR="00E266B8">
        <w:t xml:space="preserve">data points observed in the </w:t>
      </w:r>
      <w:r>
        <w:t xml:space="preserve">Sixth </w:t>
      </w:r>
      <w:r w:rsidR="00E266B8">
        <w:t xml:space="preserve">Plan versus the preliminary estimates for the </w:t>
      </w:r>
      <w:r>
        <w:t xml:space="preserve">Seventh Plan, </w:t>
      </w:r>
      <w:r w:rsidR="00E266B8">
        <w:t xml:space="preserve">so rather than extend the Sixth Plan curve, </w:t>
      </w:r>
      <w:r>
        <w:t xml:space="preserve">the Council decided to start its </w:t>
      </w:r>
      <w:r w:rsidR="00E266B8">
        <w:t xml:space="preserve">preliminary </w:t>
      </w:r>
      <w:r>
        <w:t xml:space="preserve">capital cost estimates </w:t>
      </w:r>
      <w:r w:rsidR="00531BEB">
        <w:t xml:space="preserve">curve </w:t>
      </w:r>
      <w:r>
        <w:t xml:space="preserve">at around $1,000 per kilowatt for the </w:t>
      </w:r>
      <w:r w:rsidR="00E266B8">
        <w:t xml:space="preserve">draft </w:t>
      </w:r>
      <w:r>
        <w:t>Seventh Power Plan</w:t>
      </w:r>
      <w:r w:rsidR="00755F56">
        <w:t xml:space="preserve">. </w:t>
      </w:r>
      <w:r>
        <w:t xml:space="preserve">She </w:t>
      </w:r>
      <w:r w:rsidR="00531BEB">
        <w:t xml:space="preserve">noted that </w:t>
      </w:r>
      <w:r>
        <w:t>the disconnect may be the result of using different technologies in the Power Plans</w:t>
      </w:r>
      <w:r w:rsidR="00531BEB">
        <w:t xml:space="preserve"> – the Sixth Power Plan used an E-class turbine and the preliminary Seventh Plan unit is a</w:t>
      </w:r>
      <w:r w:rsidR="002C0C02">
        <w:t xml:space="preserve"> more advanced flexible</w:t>
      </w:r>
      <w:r w:rsidR="00531BEB">
        <w:t xml:space="preserve"> F-class</w:t>
      </w:r>
      <w:r w:rsidR="002C0C02">
        <w:t xml:space="preserve"> unit</w:t>
      </w:r>
      <w:r w:rsidR="00C07D72">
        <w:t>.</w:t>
      </w:r>
    </w:p>
    <w:p w:rsidR="00DE0572" w:rsidRDefault="00DE0572" w:rsidP="00DE0572">
      <w:r>
        <w:t xml:space="preserve">Dave </w:t>
      </w:r>
      <w:proofErr w:type="spellStart"/>
      <w:r>
        <w:t>LeVee</w:t>
      </w:r>
      <w:proofErr w:type="spellEnd"/>
      <w:r>
        <w:t xml:space="preserve"> with </w:t>
      </w:r>
      <w:proofErr w:type="spellStart"/>
      <w:r>
        <w:t>Pwrcast</w:t>
      </w:r>
      <w:proofErr w:type="spellEnd"/>
      <w:r>
        <w:t xml:space="preserve"> asked if the capital cost includes capital cost-related differences between the owners of the respective plants in regards to cost-to-capital</w:t>
      </w:r>
      <w:r w:rsidR="00755F56">
        <w:t xml:space="preserve">. </w:t>
      </w:r>
      <w:r>
        <w:t xml:space="preserve">Simmons replied that they do not, but they do appear in the </w:t>
      </w:r>
      <w:proofErr w:type="spellStart"/>
      <w:r>
        <w:t>levelized</w:t>
      </w:r>
      <w:proofErr w:type="spellEnd"/>
      <w:r>
        <w:t xml:space="preserve"> cost </w:t>
      </w:r>
      <w:r w:rsidR="002C0C02">
        <w:t>calculations</w:t>
      </w:r>
      <w:r w:rsidR="00755F56">
        <w:t xml:space="preserve">. </w:t>
      </w:r>
      <w:r w:rsidR="000D76C9">
        <w:t xml:space="preserve">Charles said </w:t>
      </w:r>
      <w:r>
        <w:t xml:space="preserve">they </w:t>
      </w:r>
      <w:r w:rsidR="002A24AB">
        <w:t>might</w:t>
      </w:r>
      <w:r>
        <w:t xml:space="preserve"> discuss </w:t>
      </w:r>
      <w:proofErr w:type="spellStart"/>
      <w:r>
        <w:t>levelized</w:t>
      </w:r>
      <w:proofErr w:type="spellEnd"/>
      <w:r>
        <w:t xml:space="preserve"> cost estimates for peaking units during the next GRAC meeting.</w:t>
      </w:r>
    </w:p>
    <w:p w:rsidR="00C07D72" w:rsidRDefault="00DE0572" w:rsidP="00DE0572">
      <w:r>
        <w:t xml:space="preserve">Black stated that during his career, the supply and demand of turbines have varied dramatically, affecting market prices and project costs. </w:t>
      </w:r>
      <w:r w:rsidR="005A6DBF">
        <w:t xml:space="preserve">If </w:t>
      </w:r>
      <w:r w:rsidR="009D48FA">
        <w:t xml:space="preserve">there is a big rush on development and </w:t>
      </w:r>
      <w:r w:rsidR="005A6DBF">
        <w:t xml:space="preserve">GE </w:t>
      </w:r>
      <w:r w:rsidR="009D48FA">
        <w:t xml:space="preserve">(for example) </w:t>
      </w:r>
      <w:r w:rsidR="005A6DBF">
        <w:t xml:space="preserve">gets a big </w:t>
      </w:r>
      <w:r w:rsidR="009D48FA">
        <w:t>backlog</w:t>
      </w:r>
      <w:r w:rsidR="005A6DBF">
        <w:t xml:space="preserve"> of orders, </w:t>
      </w:r>
      <w:r w:rsidR="009D48FA">
        <w:t>the price in the primary or secondary market is affected</w:t>
      </w:r>
      <w:r w:rsidR="00333E79">
        <w:t xml:space="preserve">. </w:t>
      </w:r>
      <w:r>
        <w:t>He asked the meeting attendees if they noticed the same thing</w:t>
      </w:r>
      <w:r w:rsidR="00C07D72">
        <w:t>.</w:t>
      </w:r>
    </w:p>
    <w:p w:rsidR="00C07D72" w:rsidRDefault="00DE0572" w:rsidP="00DE0572">
      <w:r>
        <w:t xml:space="preserve">Hossner said Puget Sound Energy is seeing prices </w:t>
      </w:r>
      <w:r w:rsidR="00CC216B">
        <w:t>decrease</w:t>
      </w:r>
      <w:r w:rsidR="009D48FA" w:rsidRPr="009D48FA">
        <w:t xml:space="preserve"> </w:t>
      </w:r>
      <w:r w:rsidR="009D48FA">
        <w:t>from the 2013 IRP across the board</w:t>
      </w:r>
      <w:r w:rsidR="00333E79">
        <w:t xml:space="preserve">. </w:t>
      </w:r>
      <w:r w:rsidR="009D48FA">
        <w:t>One reason may be that when gas prices dropped a few years ago, vendors anticipated that demand would increase. However, that did not happen and now there seems to be an oversupply of equipment that is forcing prices down.</w:t>
      </w:r>
    </w:p>
    <w:p w:rsidR="00DE0572" w:rsidRDefault="00DE0572" w:rsidP="00DE0572">
      <w:r>
        <w:t xml:space="preserve">Gall said </w:t>
      </w:r>
      <w:proofErr w:type="spellStart"/>
      <w:r>
        <w:t>Avista</w:t>
      </w:r>
      <w:proofErr w:type="spellEnd"/>
      <w:r>
        <w:t xml:space="preserve"> </w:t>
      </w:r>
      <w:r w:rsidR="00024C1D">
        <w:t xml:space="preserve">noticed </w:t>
      </w:r>
      <w:r>
        <w:t>the same thing as Puget Sound Energy</w:t>
      </w:r>
      <w:r w:rsidR="00333E79">
        <w:t xml:space="preserve">. </w:t>
      </w:r>
      <w:r w:rsidR="009D48FA">
        <w:t>The gas turbine prices in the current IRP will be lower than the last IRP.</w:t>
      </w:r>
    </w:p>
    <w:p w:rsidR="00C07D72" w:rsidRDefault="00DE0572" w:rsidP="00DE0572">
      <w:r>
        <w:t>King noted that normalizing to market equilibrium is important</w:t>
      </w:r>
      <w:r w:rsidR="00C07D72">
        <w:t>.</w:t>
      </w:r>
    </w:p>
    <w:p w:rsidR="00DE0572" w:rsidRDefault="00DE0572" w:rsidP="00DE0572">
      <w:pPr>
        <w:pStyle w:val="Heading3"/>
      </w:pPr>
      <w:r>
        <w:lastRenderedPageBreak/>
        <w:t xml:space="preserve">Properties of </w:t>
      </w:r>
      <w:proofErr w:type="spellStart"/>
      <w:r>
        <w:t>Aeroderivative</w:t>
      </w:r>
      <w:proofErr w:type="spellEnd"/>
      <w:r>
        <w:t xml:space="preserve"> Technologies</w:t>
      </w:r>
    </w:p>
    <w:p w:rsidR="00333E79" w:rsidRDefault="00DE0572" w:rsidP="00DE0572">
      <w:r>
        <w:t xml:space="preserve">Charles reviewed </w:t>
      </w:r>
      <w:r w:rsidR="009D48FA">
        <w:t xml:space="preserve">the properties and characteristics of </w:t>
      </w:r>
      <w:proofErr w:type="spellStart"/>
      <w:r w:rsidR="009D48FA">
        <w:t>aeroderivative</w:t>
      </w:r>
      <w:proofErr w:type="spellEnd"/>
      <w:r w:rsidR="009D48FA">
        <w:t xml:space="preserve"> technologies on </w:t>
      </w:r>
      <w:r w:rsidR="00FE5B13">
        <w:t>slide</w:t>
      </w:r>
      <w:r>
        <w:t xml:space="preserve"> 16. Black asked if </w:t>
      </w:r>
      <w:proofErr w:type="spellStart"/>
      <w:r>
        <w:t>aeroderivative</w:t>
      </w:r>
      <w:proofErr w:type="spellEnd"/>
      <w:r>
        <w:t xml:space="preserve"> units are more fragile in regards to duty cycles than frame units, which can run </w:t>
      </w:r>
      <w:r w:rsidR="00167CCA">
        <w:t xml:space="preserve">for extended </w:t>
      </w:r>
      <w:proofErr w:type="gramStart"/>
      <w:r w:rsidR="00167CCA">
        <w:t>periods of time</w:t>
      </w:r>
      <w:proofErr w:type="gramEnd"/>
      <w:r w:rsidR="00333E79">
        <w:t xml:space="preserve">. </w:t>
      </w:r>
      <w:r>
        <w:t xml:space="preserve">King replied that </w:t>
      </w:r>
      <w:proofErr w:type="spellStart"/>
      <w:r>
        <w:t>aeroderivative</w:t>
      </w:r>
      <w:proofErr w:type="spellEnd"/>
      <w:r w:rsidR="00167CCA">
        <w:t xml:space="preserve"> engines</w:t>
      </w:r>
      <w:r w:rsidR="00DF7A53">
        <w:t xml:space="preserve"> </w:t>
      </w:r>
      <w:proofErr w:type="gramStart"/>
      <w:r>
        <w:t>are derived</w:t>
      </w:r>
      <w:proofErr w:type="gramEnd"/>
      <w:r>
        <w:t xml:space="preserve"> from the aerospace, aircraft and marine industries, so weight is </w:t>
      </w:r>
      <w:r w:rsidR="00167CCA">
        <w:t>very important</w:t>
      </w:r>
      <w:r w:rsidR="00333E79">
        <w:t xml:space="preserve">. </w:t>
      </w:r>
      <w:r w:rsidR="00167CCA">
        <w:t xml:space="preserve">The components of the </w:t>
      </w:r>
      <w:proofErr w:type="spellStart"/>
      <w:r w:rsidR="00167CCA">
        <w:t>aeroderivative</w:t>
      </w:r>
      <w:proofErr w:type="spellEnd"/>
      <w:r w:rsidR="00167CCA">
        <w:t xml:space="preserve"> engine are lighter </w:t>
      </w:r>
      <w:proofErr w:type="gramStart"/>
      <w:r w:rsidR="00167CCA">
        <w:t>than those of the frame,</w:t>
      </w:r>
      <w:proofErr w:type="gramEnd"/>
      <w:r w:rsidR="00167CCA">
        <w:t xml:space="preserve"> and they are easier to maintain and perform overhauls on</w:t>
      </w:r>
      <w:r w:rsidR="00333E79">
        <w:t>.</w:t>
      </w:r>
    </w:p>
    <w:p w:rsidR="00DE0572" w:rsidRDefault="00DE0572" w:rsidP="00DE0572">
      <w:pPr>
        <w:pStyle w:val="Heading3"/>
      </w:pPr>
      <w:r>
        <w:t xml:space="preserve">Proposed </w:t>
      </w:r>
      <w:proofErr w:type="spellStart"/>
      <w:r>
        <w:t>Aeroderivative</w:t>
      </w:r>
      <w:proofErr w:type="spellEnd"/>
      <w:r>
        <w:t xml:space="preserve"> Reference Plant</w:t>
      </w:r>
    </w:p>
    <w:p w:rsidR="00755F56" w:rsidRDefault="00DE0572" w:rsidP="00DE0572">
      <w:r>
        <w:t xml:space="preserve">Charles reviewed </w:t>
      </w:r>
      <w:r w:rsidR="00FE5B13">
        <w:t>slides</w:t>
      </w:r>
      <w:r>
        <w:t xml:space="preserve"> 17 and 18</w:t>
      </w:r>
      <w:r w:rsidR="00D414AA">
        <w:t xml:space="preserve">, describing the proposed </w:t>
      </w:r>
      <w:proofErr w:type="spellStart"/>
      <w:r w:rsidR="00D414AA">
        <w:t>aeroderivative</w:t>
      </w:r>
      <w:proofErr w:type="spellEnd"/>
      <w:r w:rsidR="00D414AA">
        <w:t xml:space="preserve"> reference plant configuration and characteristics – four GE LM6000PF SPRINT units of 48 MW nominal </w:t>
      </w:r>
      <w:proofErr w:type="gramStart"/>
      <w:r w:rsidR="00D414AA">
        <w:t>capacity</w:t>
      </w:r>
      <w:proofErr w:type="gramEnd"/>
      <w:r w:rsidR="00D414AA">
        <w:t xml:space="preserve"> each</w:t>
      </w:r>
      <w:r w:rsidR="00755F56">
        <w:t>.</w:t>
      </w:r>
    </w:p>
    <w:p w:rsidR="00DE0572" w:rsidRDefault="00DE0572" w:rsidP="00DE0572">
      <w:pPr>
        <w:pStyle w:val="Heading3"/>
      </w:pPr>
      <w:r>
        <w:t xml:space="preserve">Preliminary Capital Cost Estimates for </w:t>
      </w:r>
      <w:proofErr w:type="spellStart"/>
      <w:r>
        <w:t>Aeroderivative</w:t>
      </w:r>
      <w:proofErr w:type="spellEnd"/>
    </w:p>
    <w:p w:rsidR="00755F56" w:rsidRDefault="00DE0572" w:rsidP="00DE0572">
      <w:r>
        <w:t xml:space="preserve">Charles explained the graph on </w:t>
      </w:r>
      <w:r w:rsidR="00FE5B13">
        <w:t>slide</w:t>
      </w:r>
      <w:r>
        <w:t xml:space="preserve"> 19</w:t>
      </w:r>
      <w:r w:rsidR="00D414AA">
        <w:t xml:space="preserve">, displaying the preliminary capital cost estimates for </w:t>
      </w:r>
      <w:proofErr w:type="spellStart"/>
      <w:r w:rsidR="00D414AA">
        <w:t>aeroderivative</w:t>
      </w:r>
      <w:proofErr w:type="spellEnd"/>
      <w:r w:rsidR="00D414AA">
        <w:t xml:space="preserve"> technologies</w:t>
      </w:r>
      <w:r>
        <w:t xml:space="preserve">. </w:t>
      </w:r>
      <w:r w:rsidR="00D414AA">
        <w:t xml:space="preserve">She noted that the </w:t>
      </w:r>
      <w:proofErr w:type="spellStart"/>
      <w:r w:rsidR="00D414AA">
        <w:t>prelimary</w:t>
      </w:r>
      <w:proofErr w:type="spellEnd"/>
      <w:r w:rsidR="00D414AA">
        <w:t xml:space="preserve"> cost curve extends from the Sixth Power Plan line, deviating from it in 2008 when the effe</w:t>
      </w:r>
      <w:r w:rsidR="00A53C43">
        <w:t>ct of the recession appears not to have lowered prices as anticipated</w:t>
      </w:r>
      <w:r w:rsidR="00333E79">
        <w:t xml:space="preserve">. </w:t>
      </w:r>
      <w:r w:rsidR="00A53C43">
        <w:t xml:space="preserve">The preliminary capital cost estimate for an </w:t>
      </w:r>
      <w:proofErr w:type="spellStart"/>
      <w:r w:rsidR="00A53C43">
        <w:t>aeroderivative</w:t>
      </w:r>
      <w:proofErr w:type="spellEnd"/>
      <w:r w:rsidR="00A53C43">
        <w:t xml:space="preserve"> plant in 2012 is about $1,270/</w:t>
      </w:r>
      <w:proofErr w:type="spellStart"/>
      <w:r w:rsidR="00A53C43">
        <w:t>kw</w:t>
      </w:r>
      <w:proofErr w:type="spellEnd"/>
      <w:r w:rsidR="00755F56">
        <w:t>.</w:t>
      </w:r>
    </w:p>
    <w:p w:rsidR="00DE0572" w:rsidRDefault="00DE0572" w:rsidP="00DE0572">
      <w:pPr>
        <w:pStyle w:val="Heading3"/>
      </w:pPr>
      <w:r>
        <w:t>Properties of Intercooled Technologies</w:t>
      </w:r>
    </w:p>
    <w:p w:rsidR="00C07D72" w:rsidRDefault="00DE0572" w:rsidP="00DE0572">
      <w:r>
        <w:t xml:space="preserve">Charles reviewed </w:t>
      </w:r>
      <w:r w:rsidR="00A53C43">
        <w:t xml:space="preserve">the properties and characteristics of intercooled technologies on </w:t>
      </w:r>
      <w:r w:rsidR="00FE5B13">
        <w:t>slide</w:t>
      </w:r>
      <w:r>
        <w:t xml:space="preserve"> 20</w:t>
      </w:r>
      <w:r w:rsidR="00333E79">
        <w:t xml:space="preserve">. </w:t>
      </w:r>
      <w:r w:rsidR="00A53C43">
        <w:t xml:space="preserve">She noted that there are currently no intercooled projects in the Pacific Northwest, but </w:t>
      </w:r>
      <w:proofErr w:type="gramStart"/>
      <w:r w:rsidR="00A53C43">
        <w:t>that there</w:t>
      </w:r>
      <w:proofErr w:type="gramEnd"/>
      <w:r w:rsidR="00A53C43">
        <w:t xml:space="preserve"> are several in the Western Electricity Coordinating Council (WECC) area.</w:t>
      </w:r>
    </w:p>
    <w:p w:rsidR="00C07D72" w:rsidRDefault="00DE0572" w:rsidP="00DE0572">
      <w:r w:rsidRPr="00940801">
        <w:t>Eddie Abad</w:t>
      </w:r>
      <w:r>
        <w:t>i with the</w:t>
      </w:r>
      <w:r w:rsidRPr="00940801">
        <w:t xml:space="preserve"> Bonneville Power Administration</w:t>
      </w:r>
      <w:r>
        <w:t xml:space="preserve"> (BPA) asked if any manufacturers, other than General Electric (GE), </w:t>
      </w:r>
      <w:r w:rsidR="009131F3">
        <w:t>are considering</w:t>
      </w:r>
      <w:r>
        <w:t xml:space="preserve"> developing the respective technology</w:t>
      </w:r>
      <w:r w:rsidR="00333E79">
        <w:t xml:space="preserve">. </w:t>
      </w:r>
      <w:r>
        <w:t>Charles answered that she does not know</w:t>
      </w:r>
      <w:r w:rsidR="00C07D72">
        <w:t>.</w:t>
      </w:r>
    </w:p>
    <w:p w:rsidR="00DE0572" w:rsidRDefault="00DE0572" w:rsidP="00DE0572">
      <w:pPr>
        <w:pStyle w:val="Heading3"/>
      </w:pPr>
      <w:r>
        <w:t>Proposed Intercooled Reference Plant</w:t>
      </w:r>
    </w:p>
    <w:p w:rsidR="00DE0572" w:rsidRDefault="00DE0572" w:rsidP="00DE0572">
      <w:r>
        <w:t xml:space="preserve">Charles reviewed </w:t>
      </w:r>
      <w:r w:rsidR="00FE5B13">
        <w:t>slides</w:t>
      </w:r>
      <w:r>
        <w:t xml:space="preserve"> 21 and 22</w:t>
      </w:r>
      <w:r w:rsidR="00A53C43">
        <w:t xml:space="preserve">, describing the proposed intercooled reference plant configuration and characteristics – two GE LMS100PB units of 99 MW nominal </w:t>
      </w:r>
      <w:proofErr w:type="gramStart"/>
      <w:r w:rsidR="00A53C43">
        <w:t>capacity</w:t>
      </w:r>
      <w:proofErr w:type="gramEnd"/>
      <w:r w:rsidR="00A53C43">
        <w:t xml:space="preserve"> each</w:t>
      </w:r>
      <w:r>
        <w:t>.</w:t>
      </w:r>
    </w:p>
    <w:p w:rsidR="00C07D72" w:rsidRDefault="00DE0572" w:rsidP="00DE0572">
      <w:r w:rsidRPr="00940801">
        <w:lastRenderedPageBreak/>
        <w:t>Rick Sterling</w:t>
      </w:r>
      <w:r>
        <w:t xml:space="preserve"> with the</w:t>
      </w:r>
      <w:r w:rsidRPr="00940801">
        <w:t xml:space="preserve"> Idaho PUC</w:t>
      </w:r>
      <w:r>
        <w:t xml:space="preserve"> asked what the heat rate assumption estimates are regarding location and elevation for the different technologies discussed</w:t>
      </w:r>
      <w:r w:rsidR="00C07D72">
        <w:t>.</w:t>
      </w:r>
    </w:p>
    <w:p w:rsidR="00C07D72" w:rsidRDefault="00DE0572" w:rsidP="00DE0572">
      <w:r>
        <w:t xml:space="preserve">Charles replied </w:t>
      </w:r>
      <w:r w:rsidR="00FA24D7">
        <w:t>t</w:t>
      </w:r>
      <w:r>
        <w:t xml:space="preserve">hat the Council is using the ISO’s conditions, so they </w:t>
      </w:r>
      <w:proofErr w:type="gramStart"/>
      <w:r>
        <w:t>haven’t</w:t>
      </w:r>
      <w:proofErr w:type="gramEnd"/>
      <w:r>
        <w:t xml:space="preserve"> </w:t>
      </w:r>
      <w:r w:rsidR="00484839">
        <w:t>considered elevation adjustments</w:t>
      </w:r>
      <w:r w:rsidR="0081329C">
        <w:t xml:space="preserve"> yet</w:t>
      </w:r>
      <w:r>
        <w:t>, but they will</w:t>
      </w:r>
      <w:r w:rsidR="00C07D72">
        <w:t>.</w:t>
      </w:r>
    </w:p>
    <w:p w:rsidR="00C07D72" w:rsidRDefault="00DE0572" w:rsidP="00DE0572">
      <w:r>
        <w:t xml:space="preserve">Simmons stated </w:t>
      </w:r>
      <w:r w:rsidR="00484839">
        <w:t xml:space="preserve">they normalized </w:t>
      </w:r>
      <w:r>
        <w:t>the combined-cycle technology</w:t>
      </w:r>
      <w:r w:rsidR="00484839">
        <w:t xml:space="preserve"> </w:t>
      </w:r>
      <w:r>
        <w:t>to the Boardman plant</w:t>
      </w:r>
      <w:r w:rsidR="00C07D72">
        <w:t>.</w:t>
      </w:r>
    </w:p>
    <w:p w:rsidR="00DE0572" w:rsidRDefault="00DE0572" w:rsidP="00DE0572">
      <w:pPr>
        <w:pStyle w:val="Heading3"/>
      </w:pPr>
      <w:r>
        <w:t>Preliminary Capital Cost Estimates for Intercooled Hybrid</w:t>
      </w:r>
    </w:p>
    <w:p w:rsidR="00DE0572" w:rsidRDefault="00DE0572" w:rsidP="00DE0572">
      <w:r>
        <w:t xml:space="preserve">Charles explained the graph on </w:t>
      </w:r>
      <w:r w:rsidR="00FE5B13">
        <w:t>slide</w:t>
      </w:r>
      <w:r>
        <w:t xml:space="preserve"> 23</w:t>
      </w:r>
      <w:r w:rsidR="00A53C43">
        <w:t>, displaying the preliminary capital cost estimates for intercooled technologies</w:t>
      </w:r>
      <w:r w:rsidR="00333E79">
        <w:t xml:space="preserve">. </w:t>
      </w:r>
      <w:r w:rsidR="00A53C43">
        <w:t>The preliminary capital cost</w:t>
      </w:r>
      <w:r w:rsidR="00A433FC">
        <w:t xml:space="preserve"> estimate</w:t>
      </w:r>
      <w:r w:rsidR="00A53C43">
        <w:t xml:space="preserve"> in 2012 is about $1,080/</w:t>
      </w:r>
      <w:proofErr w:type="spellStart"/>
      <w:r w:rsidR="00A53C43">
        <w:t>kw</w:t>
      </w:r>
      <w:proofErr w:type="spellEnd"/>
      <w:r w:rsidR="00A53C43">
        <w:t>.</w:t>
      </w:r>
    </w:p>
    <w:p w:rsidR="00C07D72" w:rsidRDefault="00DE0572" w:rsidP="00DE0572">
      <w:r>
        <w:t xml:space="preserve">Simmons asked why the </w:t>
      </w:r>
      <w:r w:rsidR="002836D9">
        <w:t>“</w:t>
      </w:r>
      <w:r>
        <w:t>Haynes GS</w:t>
      </w:r>
      <w:r w:rsidR="002836D9">
        <w:t>”</w:t>
      </w:r>
      <w:r>
        <w:t xml:space="preserve"> preconstruction estimates </w:t>
      </w:r>
      <w:r w:rsidR="00C54408">
        <w:t>are</w:t>
      </w:r>
      <w:r>
        <w:t xml:space="preserve"> so high</w:t>
      </w:r>
      <w:r w:rsidR="00C07D72">
        <w:t>.</w:t>
      </w:r>
    </w:p>
    <w:p w:rsidR="00C07D72" w:rsidRDefault="00DE0572" w:rsidP="00DE0572">
      <w:r>
        <w:t xml:space="preserve">Charles answered that Haynes is in Los Angeles, California, and projects in that area tend to be more expensive </w:t>
      </w:r>
      <w:proofErr w:type="gramStart"/>
      <w:r>
        <w:t>than those in the Pacific Northwest</w:t>
      </w:r>
      <w:proofErr w:type="gramEnd"/>
      <w:r>
        <w:t xml:space="preserve">. She said that even though the project may not be applicable to the GRAC’s estimate, </w:t>
      </w:r>
      <w:r w:rsidR="00696237">
        <w:t xml:space="preserve">it is a </w:t>
      </w:r>
      <w:r w:rsidR="000E0F61">
        <w:t>data point</w:t>
      </w:r>
      <w:r w:rsidR="00696237">
        <w:t xml:space="preserve"> with useful information</w:t>
      </w:r>
      <w:r w:rsidR="00C07D72">
        <w:t>.</w:t>
      </w:r>
    </w:p>
    <w:p w:rsidR="00DE0572" w:rsidRDefault="00DE0572" w:rsidP="00DE0572">
      <w:pPr>
        <w:pStyle w:val="Heading2"/>
      </w:pPr>
      <w:r>
        <w:t>Reciprocating Engines</w:t>
      </w:r>
    </w:p>
    <w:p w:rsidR="00DE0572" w:rsidRDefault="00DE0572" w:rsidP="00DE0572">
      <w:pPr>
        <w:pStyle w:val="Heading3"/>
      </w:pPr>
      <w:r>
        <w:t>Reciprocating Engines for Electric Power Generation</w:t>
      </w:r>
    </w:p>
    <w:p w:rsidR="00DE0572" w:rsidRDefault="00DE0572" w:rsidP="00DE0572">
      <w:r>
        <w:t xml:space="preserve">Simmons discussed </w:t>
      </w:r>
      <w:r w:rsidR="00FE5B13">
        <w:t>slide</w:t>
      </w:r>
      <w:r w:rsidR="00667284">
        <w:t>s 25 and</w:t>
      </w:r>
      <w:r>
        <w:t xml:space="preserve"> 26</w:t>
      </w:r>
      <w:r w:rsidR="003C5490">
        <w:t>, describing the proposed reciprocating engine characteristics</w:t>
      </w:r>
      <w:r>
        <w:t>.</w:t>
      </w:r>
    </w:p>
    <w:p w:rsidR="00C07D72" w:rsidRDefault="00DE0572" w:rsidP="00DE0572">
      <w:r>
        <w:t xml:space="preserve">S. Brown commented that </w:t>
      </w:r>
      <w:r w:rsidR="00785DCF">
        <w:t>an</w:t>
      </w:r>
      <w:r>
        <w:t xml:space="preserve"> advantage of reciprocating engines compared to </w:t>
      </w:r>
      <w:proofErr w:type="spellStart"/>
      <w:r>
        <w:t>aeroderivative</w:t>
      </w:r>
      <w:proofErr w:type="spellEnd"/>
      <w:r>
        <w:t xml:space="preserve"> or frame units is that they have a flat heat rate from </w:t>
      </w:r>
      <w:r w:rsidR="00667284">
        <w:t>“</w:t>
      </w:r>
      <w:r>
        <w:t>zero</w:t>
      </w:r>
      <w:r w:rsidR="00785DCF">
        <w:t xml:space="preserve"> to full capacity</w:t>
      </w:r>
      <w:r w:rsidR="00667284">
        <w:t>”</w:t>
      </w:r>
      <w:r w:rsidR="00785DCF">
        <w:t xml:space="preserve"> per engine</w:t>
      </w:r>
      <w:r w:rsidR="00C07D72">
        <w:t>.</w:t>
      </w:r>
    </w:p>
    <w:p w:rsidR="00DE0572" w:rsidRDefault="00DE0572" w:rsidP="00DE0572">
      <w:pPr>
        <w:pStyle w:val="Heading3"/>
      </w:pPr>
      <w:proofErr w:type="spellStart"/>
      <w:r>
        <w:t>Recip</w:t>
      </w:r>
      <w:proofErr w:type="spellEnd"/>
      <w:r>
        <w:t xml:space="preserve"> Cost Information </w:t>
      </w:r>
    </w:p>
    <w:p w:rsidR="00DE0572" w:rsidRDefault="00DE0572" w:rsidP="00DE0572">
      <w:r>
        <w:t xml:space="preserve">Simmons reviewed </w:t>
      </w:r>
      <w:r w:rsidR="001D24F0">
        <w:t xml:space="preserve">cost information on </w:t>
      </w:r>
      <w:r w:rsidR="00FE5B13">
        <w:t>slide</w:t>
      </w:r>
      <w:r>
        <w:t xml:space="preserve"> 27 and explained the </w:t>
      </w:r>
      <w:r w:rsidR="001D24F0">
        <w:t xml:space="preserve">preliminary estimated capital costs for reciprocating engines on the </w:t>
      </w:r>
      <w:r>
        <w:t xml:space="preserve">graph in </w:t>
      </w:r>
      <w:r w:rsidR="00FE5B13">
        <w:t>slide</w:t>
      </w:r>
      <w:r>
        <w:t xml:space="preserve"> 28.</w:t>
      </w:r>
    </w:p>
    <w:p w:rsidR="00C07D72" w:rsidRDefault="00DE0572" w:rsidP="00DE0572">
      <w:r>
        <w:t>Russ Schneider with the Flathead Electric Coop</w:t>
      </w:r>
      <w:r w:rsidR="003B6465">
        <w:t>erative</w:t>
      </w:r>
      <w:r>
        <w:t xml:space="preserve"> asked if using 2012 dollars was consistent throughout the Council’s analyses</w:t>
      </w:r>
      <w:r w:rsidR="00145D86">
        <w:t xml:space="preserve">. </w:t>
      </w:r>
      <w:r>
        <w:t xml:space="preserve">Simmons </w:t>
      </w:r>
      <w:r w:rsidR="0024238A">
        <w:t>said</w:t>
      </w:r>
      <w:r>
        <w:t xml:space="preserve"> the Council is using 2012 dollars for the Seventh Power Plan</w:t>
      </w:r>
      <w:r w:rsidR="00C07D72">
        <w:t>.</w:t>
      </w:r>
    </w:p>
    <w:p w:rsidR="00C07D72" w:rsidRDefault="00DE0572" w:rsidP="00DE0572">
      <w:r>
        <w:t xml:space="preserve">Hossner asked if there are any drawbacks to </w:t>
      </w:r>
      <w:r w:rsidRPr="007C71C4">
        <w:t xml:space="preserve">reciprocating engines. She said air permitting is an issue that Puget Sound Energy has encountered, as </w:t>
      </w:r>
      <w:r w:rsidR="000E0F61" w:rsidRPr="007C71C4">
        <w:t>they have</w:t>
      </w:r>
      <w:r w:rsidRPr="007C71C4">
        <w:t xml:space="preserve"> had </w:t>
      </w:r>
      <w:r w:rsidR="00120C45">
        <w:t>problems</w:t>
      </w:r>
      <w:r w:rsidRPr="007C71C4">
        <w:t xml:space="preserve"> getting permits for the engines to run on dual fuel instead of just natural gas</w:t>
      </w:r>
      <w:r w:rsidR="00C07D72">
        <w:t>.</w:t>
      </w:r>
    </w:p>
    <w:p w:rsidR="00C07D72" w:rsidRDefault="00DE0572" w:rsidP="00DE0572">
      <w:r>
        <w:t>Simmons replied that they discuss</w:t>
      </w:r>
      <w:r w:rsidR="00A971CE">
        <w:t>ed</w:t>
      </w:r>
      <w:r>
        <w:t xml:space="preserve"> the respective drawbacks during the last GRAC meeting, such as high NOX emissions</w:t>
      </w:r>
      <w:r w:rsidR="00C07D72">
        <w:t>.</w:t>
      </w:r>
    </w:p>
    <w:p w:rsidR="00C07D72" w:rsidRDefault="00DE0572" w:rsidP="00DE0572">
      <w:proofErr w:type="spellStart"/>
      <w:r>
        <w:t>Heutte</w:t>
      </w:r>
      <w:proofErr w:type="spellEnd"/>
      <w:r>
        <w:t xml:space="preserve"> added that the engines are noisy</w:t>
      </w:r>
      <w:r w:rsidR="001D24F0">
        <w:t xml:space="preserve"> since they utilize spark compression</w:t>
      </w:r>
      <w:r>
        <w:t xml:space="preserve">, so they </w:t>
      </w:r>
      <w:proofErr w:type="gramStart"/>
      <w:r>
        <w:t>can’t</w:t>
      </w:r>
      <w:proofErr w:type="gramEnd"/>
      <w:r>
        <w:t xml:space="preserve"> be in a downtown area</w:t>
      </w:r>
      <w:r w:rsidR="00C07D72">
        <w:t>.</w:t>
      </w:r>
    </w:p>
    <w:p w:rsidR="00DE0572" w:rsidRDefault="00DE0572" w:rsidP="00DE0572">
      <w:pPr>
        <w:pStyle w:val="Heading3"/>
      </w:pPr>
      <w:proofErr w:type="spellStart"/>
      <w:r>
        <w:lastRenderedPageBreak/>
        <w:t>Recip</w:t>
      </w:r>
      <w:proofErr w:type="spellEnd"/>
      <w:r>
        <w:t xml:space="preserve"> Proposed Reference Plant</w:t>
      </w:r>
    </w:p>
    <w:p w:rsidR="00C07D72" w:rsidRDefault="00DE0572" w:rsidP="00DE0572">
      <w:r>
        <w:t xml:space="preserve">Simmons went over the </w:t>
      </w:r>
      <w:r w:rsidR="001D24F0">
        <w:t xml:space="preserve">proposed reference plant </w:t>
      </w:r>
      <w:r>
        <w:t xml:space="preserve">in </w:t>
      </w:r>
      <w:r w:rsidR="00FE5B13">
        <w:t>slide</w:t>
      </w:r>
      <w:r>
        <w:t xml:space="preserve"> 29. He stated </w:t>
      </w:r>
      <w:proofErr w:type="gramStart"/>
      <w:r>
        <w:t>he’</w:t>
      </w:r>
      <w:r w:rsidR="00535010">
        <w:t>d</w:t>
      </w:r>
      <w:proofErr w:type="gramEnd"/>
      <w:r>
        <w:t xml:space="preserve"> have the fixed and variable operation and maintenance (O&amp;M) costs available at the next GRAC meeting. Simmons noted that the shorter economic life of 25 years </w:t>
      </w:r>
      <w:r w:rsidR="00300DB0">
        <w:t>might</w:t>
      </w:r>
      <w:r>
        <w:t xml:space="preserve"> be a disadvantage</w:t>
      </w:r>
      <w:r w:rsidR="0071243D">
        <w:t xml:space="preserve"> of the respective technology</w:t>
      </w:r>
      <w:r w:rsidR="00145D86">
        <w:t xml:space="preserve">. </w:t>
      </w:r>
      <w:r w:rsidR="00321407">
        <w:t xml:space="preserve">Simmons also explained that there appeared to be a shorter construction time for the </w:t>
      </w:r>
      <w:proofErr w:type="spellStart"/>
      <w:r w:rsidR="00321407">
        <w:t>recips</w:t>
      </w:r>
      <w:proofErr w:type="spellEnd"/>
      <w:r w:rsidR="00321407">
        <w:t xml:space="preserve"> (12 months) than the other peaking technologies.</w:t>
      </w:r>
    </w:p>
    <w:p w:rsidR="00DE0572" w:rsidRDefault="00DE0572" w:rsidP="00DE0572">
      <w:r>
        <w:t xml:space="preserve">O’Brien asked why the capital costs for the Northwest Energy IRP in the graph on </w:t>
      </w:r>
      <w:r w:rsidR="00FE5B13">
        <w:t>slide</w:t>
      </w:r>
      <w:r>
        <w:t xml:space="preserve"> 28 </w:t>
      </w:r>
      <w:r w:rsidR="001639D0">
        <w:t>are</w:t>
      </w:r>
      <w:r>
        <w:t xml:space="preserve"> so much higher </w:t>
      </w:r>
      <w:proofErr w:type="gramStart"/>
      <w:r>
        <w:t>than the others</w:t>
      </w:r>
      <w:proofErr w:type="gramEnd"/>
      <w:r>
        <w:t>.</w:t>
      </w:r>
    </w:p>
    <w:p w:rsidR="00C07D72" w:rsidRDefault="00DE0572" w:rsidP="00DE0572">
      <w:r>
        <w:t xml:space="preserve">Simmons replied that the Northwest Energy IRP used a different manufacturer—Caterpillar instead of </w:t>
      </w:r>
      <w:proofErr w:type="spellStart"/>
      <w:r w:rsidRPr="00117459">
        <w:rPr>
          <w:rStyle w:val="Emphasis"/>
          <w:i w:val="0"/>
        </w:rPr>
        <w:t>Wärtsilä</w:t>
      </w:r>
      <w:proofErr w:type="spellEnd"/>
      <w:r w:rsidR="00C07D72">
        <w:t>.</w:t>
      </w:r>
    </w:p>
    <w:p w:rsidR="00DE0572" w:rsidRDefault="00DE0572" w:rsidP="00DE0572">
      <w:pPr>
        <w:pStyle w:val="Heading3"/>
      </w:pPr>
      <w:r>
        <w:t>Preliminary Capital Cost Peaking Units</w:t>
      </w:r>
    </w:p>
    <w:p w:rsidR="00C07D72" w:rsidRDefault="00DE0572" w:rsidP="00DE0572">
      <w:r>
        <w:t xml:space="preserve">Simmons went over the chart in </w:t>
      </w:r>
      <w:r w:rsidR="00FE5B13">
        <w:t>slide</w:t>
      </w:r>
      <w:r>
        <w:t xml:space="preserve"> 30</w:t>
      </w:r>
      <w:r w:rsidR="00321407">
        <w:t>, which showed a summary of the peaking technologies and their respective preliminary capital cost estimates</w:t>
      </w:r>
      <w:r w:rsidR="00C07D72">
        <w:t>.</w:t>
      </w:r>
    </w:p>
    <w:p w:rsidR="00DE0572" w:rsidRDefault="00DE0572" w:rsidP="00DE0572">
      <w:r>
        <w:t xml:space="preserve">Brown asked why the first three </w:t>
      </w:r>
      <w:r w:rsidR="00321407">
        <w:t xml:space="preserve">technologies (Frame, Aero, and Intercooled) </w:t>
      </w:r>
      <w:r>
        <w:t xml:space="preserve">on the chart </w:t>
      </w:r>
      <w:proofErr w:type="gramStart"/>
      <w:r>
        <w:t>are labeled</w:t>
      </w:r>
      <w:proofErr w:type="gramEnd"/>
      <w:r>
        <w:t xml:space="preserve"> as “lifecycle,” but </w:t>
      </w:r>
      <w:proofErr w:type="spellStart"/>
      <w:r w:rsidR="00321407">
        <w:t>Recip</w:t>
      </w:r>
      <w:proofErr w:type="spellEnd"/>
      <w:r>
        <w:t xml:space="preserve"> is labeled as “new and clean.”</w:t>
      </w:r>
    </w:p>
    <w:p w:rsidR="00DE0572" w:rsidRDefault="00DE0572" w:rsidP="00DE0572">
      <w:r>
        <w:t xml:space="preserve">Simmons answered that they have not normalized the </w:t>
      </w:r>
      <w:proofErr w:type="spellStart"/>
      <w:r>
        <w:t>recips</w:t>
      </w:r>
      <w:proofErr w:type="spellEnd"/>
      <w:r>
        <w:t xml:space="preserve"> </w:t>
      </w:r>
      <w:r w:rsidR="00321407">
        <w:t xml:space="preserve">based </w:t>
      </w:r>
      <w:r>
        <w:t xml:space="preserve">on lifecycle, and he has not seen information regarding degradation. He said the figure </w:t>
      </w:r>
      <w:proofErr w:type="gramStart"/>
      <w:r>
        <w:t>is based</w:t>
      </w:r>
      <w:proofErr w:type="gramEnd"/>
      <w:r>
        <w:t xml:space="preserve"> on a “flat output.”</w:t>
      </w:r>
    </w:p>
    <w:p w:rsidR="00DE0572" w:rsidRDefault="00DE0572" w:rsidP="00DE0572">
      <w:pPr>
        <w:pStyle w:val="Heading3"/>
      </w:pPr>
      <w:r>
        <w:t>Next Steps for Peaking Units</w:t>
      </w:r>
    </w:p>
    <w:p w:rsidR="00DE0572" w:rsidRDefault="00DE0572" w:rsidP="00DE0572">
      <w:r>
        <w:t xml:space="preserve">Simmons reviewed </w:t>
      </w:r>
      <w:r w:rsidR="00321407">
        <w:t>some of the next steps for peaking units on slide 31</w:t>
      </w:r>
      <w:r>
        <w:t>.</w:t>
      </w:r>
    </w:p>
    <w:p w:rsidR="00DE0572" w:rsidRDefault="00DE0572" w:rsidP="00DE0572">
      <w:pPr>
        <w:pStyle w:val="Heading1"/>
      </w:pPr>
      <w:r>
        <w:t xml:space="preserve">Natural Gas Combined Cycle Combustion Turbine, Solar PV Utility-Scale, and Reference Plants and </w:t>
      </w:r>
      <w:proofErr w:type="spellStart"/>
      <w:r>
        <w:t>Levelized</w:t>
      </w:r>
      <w:proofErr w:type="spellEnd"/>
      <w:r>
        <w:t xml:space="preserve"> Costs</w:t>
      </w:r>
    </w:p>
    <w:p w:rsidR="00DE0572" w:rsidRDefault="00DE0572" w:rsidP="00DE0572">
      <w:pPr>
        <w:pStyle w:val="Subtitle"/>
      </w:pPr>
      <w:r>
        <w:t>Presenter: Steve Simmons, Northwest Power and Conservation Council</w:t>
      </w:r>
    </w:p>
    <w:p w:rsidR="00532D2D" w:rsidRPr="00532D2D" w:rsidRDefault="00EB6B0D" w:rsidP="00DE0572">
      <w:pPr>
        <w:pStyle w:val="Heading2"/>
        <w:rPr>
          <w:rFonts w:asciiTheme="minorHAnsi" w:eastAsiaTheme="minorHAnsi" w:hAnsiTheme="minorHAnsi" w:cstheme="minorBidi"/>
          <w:b w:val="0"/>
          <w:bCs w:val="0"/>
          <w:color w:val="auto"/>
          <w:sz w:val="22"/>
          <w:szCs w:val="22"/>
        </w:rPr>
      </w:pPr>
      <w:r w:rsidRPr="00EB6B0D">
        <w:rPr>
          <w:rFonts w:asciiTheme="minorHAnsi" w:eastAsiaTheme="minorHAnsi" w:hAnsiTheme="minorHAnsi" w:cstheme="minorBidi"/>
          <w:b w:val="0"/>
          <w:bCs w:val="0"/>
          <w:color w:val="auto"/>
          <w:sz w:val="22"/>
          <w:szCs w:val="22"/>
        </w:rPr>
        <w:t>Simmons no</w:t>
      </w:r>
      <w:r w:rsidR="00532D2D">
        <w:rPr>
          <w:rFonts w:asciiTheme="minorHAnsi" w:eastAsiaTheme="minorHAnsi" w:hAnsiTheme="minorHAnsi" w:cstheme="minorBidi"/>
          <w:b w:val="0"/>
          <w:bCs w:val="0"/>
          <w:color w:val="auto"/>
          <w:sz w:val="22"/>
          <w:szCs w:val="22"/>
        </w:rPr>
        <w:t>ted that both natural gas combined cycle combustion turbine and utility scale solar PV have been discussed fairly extensively at previous GRAC meetings</w:t>
      </w:r>
      <w:r w:rsidR="00600653">
        <w:rPr>
          <w:rFonts w:asciiTheme="minorHAnsi" w:eastAsiaTheme="minorHAnsi" w:hAnsiTheme="minorHAnsi" w:cstheme="minorBidi"/>
          <w:b w:val="0"/>
          <w:bCs w:val="0"/>
          <w:color w:val="auto"/>
          <w:sz w:val="22"/>
          <w:szCs w:val="22"/>
        </w:rPr>
        <w:t xml:space="preserve">. </w:t>
      </w:r>
      <w:r w:rsidR="00532D2D">
        <w:rPr>
          <w:rFonts w:asciiTheme="minorHAnsi" w:eastAsiaTheme="minorHAnsi" w:hAnsiTheme="minorHAnsi" w:cstheme="minorBidi"/>
          <w:b w:val="0"/>
          <w:bCs w:val="0"/>
          <w:color w:val="auto"/>
          <w:sz w:val="22"/>
          <w:szCs w:val="22"/>
        </w:rPr>
        <w:t xml:space="preserve">The purpose of this agenda item is to provide an update on </w:t>
      </w:r>
      <w:r w:rsidR="00743BB8">
        <w:rPr>
          <w:rFonts w:asciiTheme="minorHAnsi" w:eastAsiaTheme="minorHAnsi" w:hAnsiTheme="minorHAnsi" w:cstheme="minorBidi"/>
          <w:b w:val="0"/>
          <w:bCs w:val="0"/>
          <w:color w:val="auto"/>
          <w:sz w:val="22"/>
          <w:szCs w:val="22"/>
        </w:rPr>
        <w:t xml:space="preserve">reference plants, capital cost, and </w:t>
      </w:r>
      <w:proofErr w:type="spellStart"/>
      <w:r w:rsidR="00743BB8">
        <w:rPr>
          <w:rFonts w:asciiTheme="minorHAnsi" w:eastAsiaTheme="minorHAnsi" w:hAnsiTheme="minorHAnsi" w:cstheme="minorBidi"/>
          <w:b w:val="0"/>
          <w:bCs w:val="0"/>
          <w:color w:val="auto"/>
          <w:sz w:val="22"/>
          <w:szCs w:val="22"/>
        </w:rPr>
        <w:t>levelized</w:t>
      </w:r>
      <w:proofErr w:type="spellEnd"/>
      <w:r w:rsidR="00743BB8">
        <w:rPr>
          <w:rFonts w:asciiTheme="minorHAnsi" w:eastAsiaTheme="minorHAnsi" w:hAnsiTheme="minorHAnsi" w:cstheme="minorBidi"/>
          <w:b w:val="0"/>
          <w:bCs w:val="0"/>
          <w:color w:val="auto"/>
          <w:sz w:val="22"/>
          <w:szCs w:val="22"/>
        </w:rPr>
        <w:t xml:space="preserve"> cost.</w:t>
      </w:r>
    </w:p>
    <w:p w:rsidR="00DE0572" w:rsidRDefault="00DE0572" w:rsidP="00DE0572">
      <w:pPr>
        <w:pStyle w:val="Heading2"/>
      </w:pPr>
      <w:r>
        <w:t>Reference Plants</w:t>
      </w:r>
    </w:p>
    <w:p w:rsidR="00C07D72" w:rsidRDefault="00DE0572" w:rsidP="00DE0572">
      <w:r>
        <w:t xml:space="preserve">Simmons reviewed the </w:t>
      </w:r>
      <w:r w:rsidR="00743BB8">
        <w:t xml:space="preserve">two combined cycle reference plants </w:t>
      </w:r>
      <w:r>
        <w:t xml:space="preserve">on </w:t>
      </w:r>
      <w:r w:rsidR="00FE5B13">
        <w:t>slides</w:t>
      </w:r>
      <w:r>
        <w:t xml:space="preserve"> 3 and 4. He noted that one reference plant has wet cooling and the other has dry cooling, which is more advanced and efficient</w:t>
      </w:r>
      <w:r w:rsidR="00C07D72">
        <w:t>.</w:t>
      </w:r>
    </w:p>
    <w:p w:rsidR="00C07D72" w:rsidRDefault="00131705" w:rsidP="00DE0572">
      <w:r>
        <w:t xml:space="preserve">Referring </w:t>
      </w:r>
      <w:r w:rsidR="00DE0572">
        <w:t xml:space="preserve">to the chart on </w:t>
      </w:r>
      <w:r w:rsidR="00FE5B13">
        <w:t>slide</w:t>
      </w:r>
      <w:r w:rsidR="00DE0572">
        <w:t xml:space="preserve"> 4, Morrissey asked if the build date of the facility was the same as the “</w:t>
      </w:r>
      <w:proofErr w:type="spellStart"/>
      <w:r w:rsidR="00DE0572">
        <w:t>Levelized</w:t>
      </w:r>
      <w:proofErr w:type="spellEnd"/>
      <w:r w:rsidR="00DE0572">
        <w:t xml:space="preserve"> Cost of Energy (2018).”</w:t>
      </w:r>
      <w:r w:rsidR="00743BB8">
        <w:t xml:space="preserve">  </w:t>
      </w:r>
      <w:r w:rsidR="00DE0572">
        <w:t>Simmons answer</w:t>
      </w:r>
      <w:r w:rsidR="00743BB8">
        <w:t>ed</w:t>
      </w:r>
      <w:r w:rsidR="00DE0572">
        <w:t xml:space="preserve"> that 2018 is the year when the plant will be in operation</w:t>
      </w:r>
      <w:r w:rsidR="00C07D72">
        <w:t>.</w:t>
      </w:r>
    </w:p>
    <w:p w:rsidR="00DE0572" w:rsidRDefault="00DE0572" w:rsidP="00DE0572">
      <w:pPr>
        <w:pStyle w:val="Heading2"/>
      </w:pPr>
      <w:r>
        <w:t>Solar PV Update</w:t>
      </w:r>
    </w:p>
    <w:p w:rsidR="00DE0572" w:rsidRDefault="00DE0572" w:rsidP="00DE0572">
      <w:r>
        <w:t xml:space="preserve">Simmons reviewed </w:t>
      </w:r>
      <w:r w:rsidR="00743BB8">
        <w:t xml:space="preserve">the solar </w:t>
      </w:r>
      <w:proofErr w:type="spellStart"/>
      <w:proofErr w:type="gramStart"/>
      <w:r w:rsidR="00743BB8">
        <w:t>pv</w:t>
      </w:r>
      <w:proofErr w:type="spellEnd"/>
      <w:proofErr w:type="gramEnd"/>
      <w:r w:rsidR="00743BB8">
        <w:t xml:space="preserve"> reference plant on slide 5</w:t>
      </w:r>
      <w:r>
        <w:t xml:space="preserve">. </w:t>
      </w:r>
      <w:r w:rsidR="00743BB8">
        <w:t>He noted that staff was considering an additional solar PV reference plant around 50MW – 100MW capacity, h</w:t>
      </w:r>
      <w:r>
        <w:t xml:space="preserve">e said they don’t have a lot of information available about </w:t>
      </w:r>
      <w:r w:rsidR="00743BB8">
        <w:t xml:space="preserve">large </w:t>
      </w:r>
      <w:r>
        <w:t xml:space="preserve">solar </w:t>
      </w:r>
      <w:r w:rsidR="00743BB8">
        <w:t xml:space="preserve">PV </w:t>
      </w:r>
      <w:r>
        <w:t>plants in the Northwest</w:t>
      </w:r>
      <w:r w:rsidR="00743BB8">
        <w:t xml:space="preserve"> because none have been built to-date larger than 5 MW</w:t>
      </w:r>
      <w:r>
        <w:t>.</w:t>
      </w:r>
    </w:p>
    <w:p w:rsidR="00C07D72" w:rsidRDefault="00DE0572" w:rsidP="00DE0572">
      <w:r>
        <w:t xml:space="preserve"> S. Brown asked if </w:t>
      </w:r>
      <w:r w:rsidR="006C3337">
        <w:t xml:space="preserve">utilities are building </w:t>
      </w:r>
      <w:r>
        <w:t xml:space="preserve">more plants with single-axis trackers than </w:t>
      </w:r>
      <w:r w:rsidR="006C3337">
        <w:t>f</w:t>
      </w:r>
      <w:r>
        <w:t>ixed-axis trackers</w:t>
      </w:r>
      <w:r w:rsidR="00C07D72">
        <w:t>.</w:t>
      </w:r>
    </w:p>
    <w:p w:rsidR="00C07D72" w:rsidRDefault="00DE0572" w:rsidP="00DE0572">
      <w:r>
        <w:t xml:space="preserve">Simmons replied that historically, </w:t>
      </w:r>
      <w:r w:rsidR="00E115D1">
        <w:t>utilities built</w:t>
      </w:r>
      <w:r w:rsidR="008D4CEF">
        <w:t xml:space="preserve"> </w:t>
      </w:r>
      <w:r>
        <w:t xml:space="preserve">more plants with single-axis trackers. He stated some reports show a great variation on capital costs due to factors that </w:t>
      </w:r>
      <w:proofErr w:type="gramStart"/>
      <w:r>
        <w:t>aren’t</w:t>
      </w:r>
      <w:proofErr w:type="gramEnd"/>
      <w:r>
        <w:t xml:space="preserve"> related to </w:t>
      </w:r>
      <w:r w:rsidR="0026080D">
        <w:t xml:space="preserve">the </w:t>
      </w:r>
      <w:r>
        <w:t xml:space="preserve">tracker type, so it’s hard to determine a cost difference. Simmons said there </w:t>
      </w:r>
      <w:r w:rsidR="000E4A79">
        <w:t>is</w:t>
      </w:r>
      <w:r>
        <w:t xml:space="preserve"> a performance difference, but this factor depends on the </w:t>
      </w:r>
      <w:r w:rsidR="0011433B">
        <w:t>plant’s location</w:t>
      </w:r>
      <w:r w:rsidR="00C07D72">
        <w:t>.</w:t>
      </w:r>
    </w:p>
    <w:p w:rsidR="00DE0572" w:rsidRDefault="00DE0572" w:rsidP="00DE0572">
      <w:r>
        <w:t xml:space="preserve">S. Brown asked what the Council is </w:t>
      </w:r>
      <w:r w:rsidR="00FC03CB">
        <w:t xml:space="preserve">considering in regards to the </w:t>
      </w:r>
      <w:r>
        <w:t>orientation of the solar panels.</w:t>
      </w:r>
    </w:p>
    <w:p w:rsidR="00C07D72" w:rsidRDefault="00DE0572" w:rsidP="00DE0572">
      <w:r>
        <w:t>Simmons answered that the Council has not covered this detail yet, but the orientation of the panels would depend on their location</w:t>
      </w:r>
      <w:r w:rsidR="00C07D72">
        <w:t>.</w:t>
      </w:r>
    </w:p>
    <w:p w:rsidR="00C07D72" w:rsidRDefault="00DE0572" w:rsidP="00DE0572">
      <w:r>
        <w:t xml:space="preserve">S. Brown commented that it seems </w:t>
      </w:r>
      <w:r w:rsidR="00E474F2">
        <w:t xml:space="preserve">as if </w:t>
      </w:r>
      <w:r>
        <w:t xml:space="preserve">a lot more panels </w:t>
      </w:r>
      <w:r w:rsidR="00E474F2">
        <w:t>do</w:t>
      </w:r>
      <w:r>
        <w:t xml:space="preserve"> not point directly south</w:t>
      </w:r>
      <w:r w:rsidR="00C07D72">
        <w:t>.</w:t>
      </w:r>
    </w:p>
    <w:p w:rsidR="00DE0572" w:rsidRDefault="00DE0572" w:rsidP="00DE0572">
      <w:r>
        <w:t xml:space="preserve">In regards to small-scale solar panels (e.g., rooftop panels), </w:t>
      </w:r>
      <w:proofErr w:type="spellStart"/>
      <w:r>
        <w:t>Heutte</w:t>
      </w:r>
      <w:proofErr w:type="spellEnd"/>
      <w:r>
        <w:t xml:space="preserve"> stated, “At least in California, because of the daily load peak issue being different than the peak output…there is some tendency now…to move toward a southwest orientation because of that difference</w:t>
      </w:r>
      <w:r w:rsidR="00843065">
        <w:t>. B</w:t>
      </w:r>
      <w:r>
        <w:t>ecause the value is so much greater later</w:t>
      </w:r>
      <w:r w:rsidR="00260435">
        <w:t xml:space="preserve"> in the day… </w:t>
      </w:r>
      <w:r w:rsidR="00843065">
        <w:t>y</w:t>
      </w:r>
      <w:r>
        <w:t xml:space="preserve">ou lose some output, but you gain a little bit on the time.” </w:t>
      </w:r>
      <w:proofErr w:type="spellStart"/>
      <w:r>
        <w:t>Heutte</w:t>
      </w:r>
      <w:proofErr w:type="spellEnd"/>
      <w:r>
        <w:t xml:space="preserve"> added that there are two factors to consider</w:t>
      </w:r>
      <w:r w:rsidR="00464A3D">
        <w:t>—</w:t>
      </w:r>
      <w:r>
        <w:t>storage</w:t>
      </w:r>
      <w:r w:rsidR="00464A3D">
        <w:t xml:space="preserve"> </w:t>
      </w:r>
      <w:r>
        <w:t xml:space="preserve">and site economics. He also </w:t>
      </w:r>
      <w:r w:rsidR="00AC1455">
        <w:t>said</w:t>
      </w:r>
      <w:r>
        <w:t xml:space="preserve"> land acquisition for a 100-megawatt plant is difficult.</w:t>
      </w:r>
    </w:p>
    <w:p w:rsidR="00600653" w:rsidRDefault="00DE0572" w:rsidP="00DE0572">
      <w:r>
        <w:t xml:space="preserve">Sterling said Idaho Power is proposing projects that are up to </w:t>
      </w:r>
      <w:r w:rsidR="00E55D0E">
        <w:t xml:space="preserve">a total of </w:t>
      </w:r>
      <w:r>
        <w:t>500 megawatts, but most of the individual projects are 10 or 20 megawatts. He said most of the 20-megawatt plants are not stand-al</w:t>
      </w:r>
      <w:r w:rsidR="00464FBF">
        <w:t>one facilities, but clusters of 5- or 10-megawatt units</w:t>
      </w:r>
      <w:r w:rsidR="00600653">
        <w:t xml:space="preserve">. </w:t>
      </w:r>
      <w:r w:rsidR="000E4A79">
        <w:t>Given the choice, Sterling thinks that most places in the region would choose to build projects greater than 5 megawatts</w:t>
      </w:r>
      <w:r w:rsidR="00600653">
        <w:t xml:space="preserve">. </w:t>
      </w:r>
      <w:r w:rsidR="000E4A79">
        <w:t>Simmons noted that originally, staff was considering a 20 megawatts reference plant but that due to conversations with the GRAC had lowered it to 5 megawatts</w:t>
      </w:r>
      <w:r w:rsidR="00600653">
        <w:t>.</w:t>
      </w:r>
    </w:p>
    <w:p w:rsidR="00C07D72" w:rsidRDefault="00DE0572" w:rsidP="00DE0572">
      <w:r>
        <w:t>Sterling and O’Brien discussed if the 500 megawatts of proposed projects at Idaho Power includ</w:t>
      </w:r>
      <w:r w:rsidR="002F1AC5">
        <w:t xml:space="preserve">e </w:t>
      </w:r>
      <w:r>
        <w:t xml:space="preserve">general inquiries without firm commitments to build or </w:t>
      </w:r>
      <w:r w:rsidR="002F1AC5">
        <w:t>commitments that are more serious</w:t>
      </w:r>
      <w:r w:rsidR="00C07D72">
        <w:t>.</w:t>
      </w:r>
    </w:p>
    <w:p w:rsidR="00C07D72" w:rsidRDefault="00DE0572" w:rsidP="00DE0572">
      <w:r>
        <w:t>Sterling said that those who have made inquiries regarding about 250 megawatts of the power have draft contracts in-hand</w:t>
      </w:r>
      <w:r w:rsidR="00C07D72">
        <w:t>.</w:t>
      </w:r>
    </w:p>
    <w:p w:rsidR="00C07D72" w:rsidRDefault="00DE0572" w:rsidP="00DE0572">
      <w:r>
        <w:lastRenderedPageBreak/>
        <w:t xml:space="preserve">Simmons stated Pacific Power was considering 5-megawatt units, and the GRAC can discuss using a larger plant for </w:t>
      </w:r>
      <w:r w:rsidR="005F505A">
        <w:t>a second reference plant</w:t>
      </w:r>
      <w:r w:rsidR="00C07D72">
        <w:t>.</w:t>
      </w:r>
    </w:p>
    <w:p w:rsidR="00C07D72" w:rsidRDefault="00DE0572" w:rsidP="00DE0572">
      <w:r>
        <w:t>Sterling said land availability in southern Idaho is not an issue</w:t>
      </w:r>
      <w:r w:rsidR="00C07D72">
        <w:t>.</w:t>
      </w:r>
    </w:p>
    <w:p w:rsidR="00C07D72" w:rsidRDefault="00DE0572" w:rsidP="00DE0572">
      <w:proofErr w:type="spellStart"/>
      <w:r>
        <w:t>Heutte</w:t>
      </w:r>
      <w:proofErr w:type="spellEnd"/>
      <w:r>
        <w:t xml:space="preserve"> said he thinks </w:t>
      </w:r>
      <w:proofErr w:type="gramStart"/>
      <w:r>
        <w:t>they’ll</w:t>
      </w:r>
      <w:proofErr w:type="gramEnd"/>
      <w:r>
        <w:t xml:space="preserve"> see a staged development in the Northwest that’s different </w:t>
      </w:r>
      <w:r w:rsidR="00582C09">
        <w:t>from</w:t>
      </w:r>
      <w:r>
        <w:t xml:space="preserve"> the development in California, which started out with small projects and then leaped to larger ones for various reasons</w:t>
      </w:r>
      <w:r w:rsidR="005F505A">
        <w:t xml:space="preserve"> – Federal credits, California’s RPS</w:t>
      </w:r>
      <w:r>
        <w:t>. He stated he thinks the Northwest will start out with smaller 20-megawatt projects and then consider bigger ones</w:t>
      </w:r>
      <w:r w:rsidR="00600653">
        <w:t xml:space="preserve">. </w:t>
      </w:r>
      <w:r w:rsidR="005F505A">
        <w:t>There is a lot of land and good solar resource available in SE Oregon and Southern Idaho in particular</w:t>
      </w:r>
      <w:r w:rsidR="0002071F">
        <w:t>, but that other issues like transmission access could be barriers to development.</w:t>
      </w:r>
    </w:p>
    <w:p w:rsidR="00DE0572" w:rsidRDefault="00DE0572" w:rsidP="00DE0572">
      <w:pPr>
        <w:pStyle w:val="Heading3"/>
      </w:pPr>
      <w:r>
        <w:t>Solar PV Utility Scale Capital Cost Estimates &amp; Projections</w:t>
      </w:r>
    </w:p>
    <w:p w:rsidR="00DE0572" w:rsidRDefault="00DE0572" w:rsidP="00DE0572">
      <w:r>
        <w:t xml:space="preserve">Simmons reviewed the </w:t>
      </w:r>
      <w:r w:rsidR="0002071F">
        <w:t>capital cost estimates and projections</w:t>
      </w:r>
      <w:r>
        <w:t xml:space="preserve"> on </w:t>
      </w:r>
      <w:r w:rsidR="00FE5B13">
        <w:t>slide</w:t>
      </w:r>
      <w:r>
        <w:t xml:space="preserve"> 6. He noted the costs are overnight costs and the kilowatts are AC (alternating current), not DC (direct current). He also highlighted the inclusion of the </w:t>
      </w:r>
      <w:proofErr w:type="spellStart"/>
      <w:r>
        <w:t>SunShot</w:t>
      </w:r>
      <w:proofErr w:type="spellEnd"/>
      <w:r>
        <w:t xml:space="preserve"> Goal of $1 per watt DC by 2020.</w:t>
      </w:r>
    </w:p>
    <w:p w:rsidR="00C07D72" w:rsidRDefault="00DE0572" w:rsidP="00DE0572">
      <w:proofErr w:type="spellStart"/>
      <w:r>
        <w:t>Heutte</w:t>
      </w:r>
      <w:proofErr w:type="spellEnd"/>
      <w:r>
        <w:t xml:space="preserve"> commented that there is a good chance </w:t>
      </w:r>
      <w:r w:rsidR="008D0FA3">
        <w:t>the</w:t>
      </w:r>
      <w:r>
        <w:t xml:space="preserve"> </w:t>
      </w:r>
      <w:proofErr w:type="spellStart"/>
      <w:r>
        <w:t>SunShot</w:t>
      </w:r>
      <w:proofErr w:type="spellEnd"/>
      <w:r>
        <w:t xml:space="preserve"> Goal </w:t>
      </w:r>
      <w:proofErr w:type="gramStart"/>
      <w:r>
        <w:t>will be met</w:t>
      </w:r>
      <w:proofErr w:type="gramEnd"/>
      <w:r w:rsidR="00A2522B">
        <w:t>.</w:t>
      </w:r>
      <w:r>
        <w:t xml:space="preserve"> He said </w:t>
      </w:r>
      <w:r w:rsidR="008D0FA3">
        <w:t>the</w:t>
      </w:r>
      <w:r>
        <w:t xml:space="preserve"> global market is expanding so fast that prices will continue to decrease. </w:t>
      </w:r>
      <w:proofErr w:type="spellStart"/>
      <w:r>
        <w:t>Heutte</w:t>
      </w:r>
      <w:proofErr w:type="spellEnd"/>
      <w:r>
        <w:t xml:space="preserve"> noted that an</w:t>
      </w:r>
      <w:r w:rsidR="00A2522B">
        <w:t>other</w:t>
      </w:r>
      <w:r>
        <w:t xml:space="preserve"> issue to think about is the balance of system costs in regards to small-scale solar PV projects</w:t>
      </w:r>
      <w:r w:rsidR="00C07D72">
        <w:t>.</w:t>
      </w:r>
    </w:p>
    <w:p w:rsidR="00C07D72" w:rsidRDefault="00DE0572" w:rsidP="00DE0572">
      <w:r>
        <w:t xml:space="preserve">Simmons noted that the Council’s respective forecast </w:t>
      </w:r>
      <w:proofErr w:type="gramStart"/>
      <w:r>
        <w:t>is not fixed</w:t>
      </w:r>
      <w:proofErr w:type="gramEnd"/>
      <w:r>
        <w:t xml:space="preserve"> as they continue to update it over time</w:t>
      </w:r>
      <w:r w:rsidR="00C07D72">
        <w:t>.</w:t>
      </w:r>
    </w:p>
    <w:p w:rsidR="00C07D72" w:rsidRDefault="00DE0572" w:rsidP="00DE0572">
      <w:proofErr w:type="spellStart"/>
      <w:r>
        <w:t>Heutte</w:t>
      </w:r>
      <w:proofErr w:type="spellEnd"/>
      <w:r>
        <w:t xml:space="preserve"> said some solar advocates tend to </w:t>
      </w:r>
      <w:r w:rsidR="00AE09FD">
        <w:t>focus on the</w:t>
      </w:r>
      <w:r>
        <w:t xml:space="preserve"> costs from the last year or two</w:t>
      </w:r>
      <w:r w:rsidR="00AE09FD">
        <w:t xml:space="preserve"> and use those as the basis for a </w:t>
      </w:r>
      <w:r>
        <w:t xml:space="preserve">projection going forward. He stated he disagrees with this projection because one needs to take into account a longer </w:t>
      </w:r>
      <w:r w:rsidR="00152749">
        <w:t>period</w:t>
      </w:r>
      <w:r>
        <w:t xml:space="preserve"> and market dynamics. </w:t>
      </w:r>
      <w:proofErr w:type="spellStart"/>
      <w:r>
        <w:t>Heutte</w:t>
      </w:r>
      <w:proofErr w:type="spellEnd"/>
      <w:r>
        <w:t xml:space="preserve"> added that it</w:t>
      </w:r>
      <w:r w:rsidR="00AE09FD">
        <w:t xml:space="preserve"> i</w:t>
      </w:r>
      <w:r>
        <w:t>s better to look at 5- or 10-year trends</w:t>
      </w:r>
      <w:r w:rsidR="00314868">
        <w:t>,</w:t>
      </w:r>
      <w:r w:rsidR="00152749">
        <w:t xml:space="preserve"> as he </w:t>
      </w:r>
      <w:r>
        <w:t>thinks capital costs will dip lower than the costs projected in the respective graph</w:t>
      </w:r>
      <w:r w:rsidR="00C07D72">
        <w:t>.</w:t>
      </w:r>
    </w:p>
    <w:p w:rsidR="00C07D72" w:rsidRDefault="00DE0572" w:rsidP="00DE0572">
      <w:proofErr w:type="spellStart"/>
      <w:r>
        <w:t>LeVee</w:t>
      </w:r>
      <w:proofErr w:type="spellEnd"/>
      <w:r>
        <w:t xml:space="preserve"> asked if the estimates included any credits or tax benefits, like the 30 percent </w:t>
      </w:r>
      <w:r w:rsidR="00CD672B">
        <w:t>Investment Tax Credit</w:t>
      </w:r>
      <w:r w:rsidR="00153F07">
        <w:t xml:space="preserve">. </w:t>
      </w:r>
      <w:r>
        <w:t>Simmons replied that the capital costs in the respective graph are overnight capital costs without any credits or benefits</w:t>
      </w:r>
      <w:r w:rsidR="00C07D72">
        <w:t>.</w:t>
      </w:r>
    </w:p>
    <w:p w:rsidR="00DE0572" w:rsidRDefault="00DE0572" w:rsidP="00DE0572">
      <w:pPr>
        <w:pStyle w:val="Heading3"/>
      </w:pPr>
      <w:r>
        <w:t xml:space="preserve">Recent Solar PV Power Purchase Agreements </w:t>
      </w:r>
    </w:p>
    <w:p w:rsidR="00DE0572" w:rsidRDefault="00DE0572" w:rsidP="00DE0572">
      <w:r>
        <w:t>Simmons reviewed</w:t>
      </w:r>
      <w:r w:rsidR="00720643">
        <w:t xml:space="preserve"> recent solar PV power purchase agreements in New Mexico and Texas on</w:t>
      </w:r>
      <w:r>
        <w:t xml:space="preserve"> </w:t>
      </w:r>
      <w:r w:rsidR="00FE5B13">
        <w:t>slide</w:t>
      </w:r>
      <w:r>
        <w:t xml:space="preserve"> 7.</w:t>
      </w:r>
    </w:p>
    <w:p w:rsidR="00755F56" w:rsidRDefault="00DE0572" w:rsidP="00DE0572">
      <w:r>
        <w:t>Abadi asked if any states, aside from New Mexico, offer production tax credits</w:t>
      </w:r>
      <w:r w:rsidR="00153F07">
        <w:t xml:space="preserve">. </w:t>
      </w:r>
      <w:r>
        <w:t>Simmons stated he was not sure, but assumes there are</w:t>
      </w:r>
      <w:r w:rsidR="00153F07">
        <w:t xml:space="preserve">. </w:t>
      </w:r>
      <w:r>
        <w:t>Black commented that the New Mexican tax credit is limited</w:t>
      </w:r>
      <w:r w:rsidR="00755F56">
        <w:t>.</w:t>
      </w:r>
    </w:p>
    <w:p w:rsidR="00C07D72" w:rsidRDefault="00DE0572" w:rsidP="00DE0572">
      <w:r>
        <w:t xml:space="preserve">S. Brown </w:t>
      </w:r>
      <w:r w:rsidR="001F6478">
        <w:t>s</w:t>
      </w:r>
      <w:r>
        <w:t>tated he thinks New Jersey offers similar incentives</w:t>
      </w:r>
      <w:r w:rsidR="00153F07">
        <w:t xml:space="preserve">. </w:t>
      </w:r>
      <w:proofErr w:type="spellStart"/>
      <w:r>
        <w:t>Heutte</w:t>
      </w:r>
      <w:proofErr w:type="spellEnd"/>
      <w:r>
        <w:t xml:space="preserve"> added that Washington </w:t>
      </w:r>
      <w:proofErr w:type="gramStart"/>
      <w:r>
        <w:t>state</w:t>
      </w:r>
      <w:proofErr w:type="gramEnd"/>
      <w:r>
        <w:t xml:space="preserve"> does as well</w:t>
      </w:r>
      <w:r w:rsidR="00C07D72">
        <w:t>.</w:t>
      </w:r>
    </w:p>
    <w:p w:rsidR="00C07D72" w:rsidRDefault="00DE0572" w:rsidP="00DE0572">
      <w:proofErr w:type="spellStart"/>
      <w:r>
        <w:t>LeVee</w:t>
      </w:r>
      <w:proofErr w:type="spellEnd"/>
      <w:r>
        <w:t xml:space="preserve"> asked if the power purchase agreement (PPA) with El Paso included the average price or if the prices corresponded to the actual hours of production by the solar generation</w:t>
      </w:r>
      <w:r w:rsidR="00C07D72">
        <w:t>.</w:t>
      </w:r>
    </w:p>
    <w:p w:rsidR="00DE0572" w:rsidRDefault="00DE0572" w:rsidP="00DE0572">
      <w:r>
        <w:t xml:space="preserve">Black responded, “They have an additional time-of-production credit that they attribute to this, but this is just the energy price.” </w:t>
      </w:r>
    </w:p>
    <w:p w:rsidR="00DE0572" w:rsidRDefault="00DE0572" w:rsidP="00DE0572">
      <w:pPr>
        <w:pStyle w:val="Heading2"/>
      </w:pPr>
      <w:proofErr w:type="spellStart"/>
      <w:r>
        <w:t>Levelized</w:t>
      </w:r>
      <w:proofErr w:type="spellEnd"/>
      <w:r>
        <w:t xml:space="preserve"> Cost of Energy </w:t>
      </w:r>
    </w:p>
    <w:p w:rsidR="00755F56" w:rsidRDefault="00DE0572" w:rsidP="00DE0572">
      <w:r>
        <w:t>Simmons reviewed</w:t>
      </w:r>
      <w:r w:rsidR="00C541FE">
        <w:t xml:space="preserve"> the calculation and purpose of </w:t>
      </w:r>
      <w:proofErr w:type="spellStart"/>
      <w:r w:rsidR="00C541FE">
        <w:t>levelized</w:t>
      </w:r>
      <w:proofErr w:type="spellEnd"/>
      <w:r w:rsidR="00C541FE">
        <w:t xml:space="preserve"> cost of energy </w:t>
      </w:r>
      <w:r w:rsidR="00A70E32">
        <w:t xml:space="preserve">(LCOE) </w:t>
      </w:r>
      <w:r w:rsidR="00C541FE">
        <w:t>calculations</w:t>
      </w:r>
      <w:r w:rsidR="00755F56">
        <w:t>.</w:t>
      </w:r>
    </w:p>
    <w:p w:rsidR="00C07D72" w:rsidRDefault="00DE0572" w:rsidP="00DE0572">
      <w:r>
        <w:t xml:space="preserve">Simmons </w:t>
      </w:r>
      <w:r w:rsidR="00C541FE">
        <w:t xml:space="preserve">noted </w:t>
      </w:r>
      <w:r>
        <w:t xml:space="preserve">that </w:t>
      </w:r>
      <w:r w:rsidR="00C541FE">
        <w:t xml:space="preserve">along with assumptions like capital cost, financing costs, O&amp;M costs, </w:t>
      </w:r>
      <w:r w:rsidR="00A70E32">
        <w:t xml:space="preserve">fuel costs, emission costs, and utilization, LCOE </w:t>
      </w:r>
      <w:r>
        <w:t>does adjust for tax incentives</w:t>
      </w:r>
      <w:r w:rsidR="00A70E32">
        <w:t>.</w:t>
      </w:r>
    </w:p>
    <w:p w:rsidR="00DE0572" w:rsidRDefault="00DE0572" w:rsidP="00DE0572">
      <w:r>
        <w:t xml:space="preserve">Simmons reviewed </w:t>
      </w:r>
      <w:r w:rsidR="00FE5B13">
        <w:t>slide</w:t>
      </w:r>
      <w:r>
        <w:t xml:space="preserve"> 10</w:t>
      </w:r>
      <w:r w:rsidR="00A70E32">
        <w:t>, noting that there are important factors that go into LCOE based on resource technology type</w:t>
      </w:r>
      <w:r w:rsidR="00153F07">
        <w:t xml:space="preserve">. </w:t>
      </w:r>
      <w:r w:rsidR="00A70E32">
        <w:t>For solar PV, the primary cost component of LCOE is the capital cost</w:t>
      </w:r>
      <w:r w:rsidR="00153F07">
        <w:t xml:space="preserve">. </w:t>
      </w:r>
      <w:r w:rsidR="00A70E32">
        <w:t>For natural gas combined cycle, fuel costs are significant cost components of LCOE.</w:t>
      </w:r>
    </w:p>
    <w:p w:rsidR="00C07D72" w:rsidRDefault="00DE0572" w:rsidP="00DE0572">
      <w:r>
        <w:t>S. Brown asked if the LCOE for solar include</w:t>
      </w:r>
      <w:r w:rsidR="00B95BFE">
        <w:t>d</w:t>
      </w:r>
      <w:r>
        <w:t xml:space="preserve"> integration costs</w:t>
      </w:r>
      <w:r w:rsidR="00153F07">
        <w:t xml:space="preserve">. </w:t>
      </w:r>
      <w:r>
        <w:t>Simmons replied that it does include an integration cost</w:t>
      </w:r>
      <w:r w:rsidR="00153F07">
        <w:t xml:space="preserve">. </w:t>
      </w:r>
      <w:r>
        <w:t xml:space="preserve">S. Brown said the integration cost </w:t>
      </w:r>
      <w:r w:rsidR="007B17B2">
        <w:t>might</w:t>
      </w:r>
      <w:r>
        <w:t xml:space="preserve"> be the reason for the difference between the PPA and LCOE costs</w:t>
      </w:r>
      <w:r w:rsidR="00153F07">
        <w:t xml:space="preserve">. </w:t>
      </w:r>
      <w:r w:rsidR="00BF723D">
        <w:t>Simmons stated that he agree</w:t>
      </w:r>
      <w:r w:rsidR="00E06CDC">
        <w:t>d</w:t>
      </w:r>
      <w:r w:rsidR="00C07D72">
        <w:t>.</w:t>
      </w:r>
    </w:p>
    <w:p w:rsidR="00C07D72" w:rsidRDefault="00DE0572" w:rsidP="00DE0572">
      <w:r>
        <w:lastRenderedPageBreak/>
        <w:t xml:space="preserve">Black asked if the term “integration cost” related to </w:t>
      </w:r>
      <w:r w:rsidR="0021340C">
        <w:t>the cost of “</w:t>
      </w:r>
      <w:r w:rsidR="006F570B">
        <w:t>interconnection</w:t>
      </w:r>
      <w:r>
        <w:t xml:space="preserve"> </w:t>
      </w:r>
      <w:r w:rsidR="006F570B">
        <w:t>into the grid</w:t>
      </w:r>
      <w:r w:rsidR="0021340C">
        <w:t xml:space="preserve">” </w:t>
      </w:r>
      <w:r>
        <w:t>or the system balancing cost</w:t>
      </w:r>
      <w:r w:rsidR="00C07D72">
        <w:t>.</w:t>
      </w:r>
    </w:p>
    <w:p w:rsidR="00DE0572" w:rsidRDefault="00DE0572" w:rsidP="00DE0572">
      <w:r>
        <w:t>S. Brown replied that it referred to system balancing costs.</w:t>
      </w:r>
    </w:p>
    <w:p w:rsidR="00DE0572" w:rsidRDefault="00DE0572" w:rsidP="00DE0572">
      <w:r>
        <w:t>Simmons stated he was referring to transmiss</w:t>
      </w:r>
      <w:r w:rsidR="0021340C">
        <w:t>ion, or interconnection, costs, but the cost could apply to both interconnection and system balancing costs.</w:t>
      </w:r>
    </w:p>
    <w:p w:rsidR="00C07D72" w:rsidRDefault="00DE0572" w:rsidP="00DE0572">
      <w:proofErr w:type="spellStart"/>
      <w:r>
        <w:t>Heutte</w:t>
      </w:r>
      <w:proofErr w:type="spellEnd"/>
      <w:r>
        <w:t xml:space="preserve"> noted that the Palo Alto and Austin utilities are public agencies with public agency finance considerations. He said </w:t>
      </w:r>
      <w:proofErr w:type="gramStart"/>
      <w:r>
        <w:t>they’re</w:t>
      </w:r>
      <w:proofErr w:type="gramEnd"/>
      <w:r>
        <w:t xml:space="preserve"> both progressive utilities with supportive </w:t>
      </w:r>
      <w:r w:rsidR="00446637">
        <w:t>ratepayers</w:t>
      </w:r>
      <w:r>
        <w:t>, and could serve as an indication of the direction of the market</w:t>
      </w:r>
      <w:r w:rsidR="00C07D72">
        <w:t>.</w:t>
      </w:r>
    </w:p>
    <w:p w:rsidR="00C07D72" w:rsidRDefault="00DE0572" w:rsidP="00DE0572">
      <w:r>
        <w:t>Abadi asked if the respective costs covered connecting to the grid, but not firming and balancing</w:t>
      </w:r>
      <w:r w:rsidR="00C07D72">
        <w:t>.</w:t>
      </w:r>
    </w:p>
    <w:p w:rsidR="00C07D72" w:rsidRDefault="00DE0572" w:rsidP="00DE0572">
      <w:r>
        <w:t xml:space="preserve">Simmons replied that </w:t>
      </w:r>
      <w:r w:rsidR="00446637">
        <w:t>Abadi</w:t>
      </w:r>
      <w:r>
        <w:t xml:space="preserve"> was correct</w:t>
      </w:r>
      <w:r w:rsidR="00C07D72">
        <w:t>.</w:t>
      </w:r>
    </w:p>
    <w:p w:rsidR="00DE0572" w:rsidRDefault="00DE0572" w:rsidP="00DE0572">
      <w:r>
        <w:t xml:space="preserve">Dockery pointed out that perhaps some PPA costs are lower than published LCOE costs because “they’re betting a curve that may not be realistic and they may not actually show up.” He added that developers look at manufacturing cost curves for solar and </w:t>
      </w:r>
      <w:r w:rsidR="00A70E32">
        <w:t xml:space="preserve">then </w:t>
      </w:r>
      <w:r>
        <w:t>project</w:t>
      </w:r>
      <w:r w:rsidR="00A70E32">
        <w:t>ing</w:t>
      </w:r>
      <w:r>
        <w:t xml:space="preserve"> costs that are much lower, so “they sign a PPA and (do) not have much termination costs.”</w:t>
      </w:r>
    </w:p>
    <w:p w:rsidR="00DE0572" w:rsidRDefault="00DE0572" w:rsidP="00DE0572">
      <w:proofErr w:type="spellStart"/>
      <w:r>
        <w:t>Heutte</w:t>
      </w:r>
      <w:proofErr w:type="spellEnd"/>
      <w:r>
        <w:t xml:space="preserve"> stated that while “some part of the expected market, or deals, is not going to turn out,” the </w:t>
      </w:r>
      <w:proofErr w:type="gramStart"/>
      <w:r>
        <w:t>track record</w:t>
      </w:r>
      <w:proofErr w:type="gramEnd"/>
      <w:r>
        <w:t xml:space="preserve"> in California is better than expected as the plants are “going in and </w:t>
      </w:r>
      <w:r w:rsidR="00A70E32">
        <w:t xml:space="preserve">performing </w:t>
      </w:r>
      <w:r>
        <w:t>pretty well, especially on the PV side.” He discussed some of the solar-related market expectations and said Palo Alto and Austin are good examples of “what you can get if you really push the market.”</w:t>
      </w:r>
    </w:p>
    <w:p w:rsidR="00DE0572" w:rsidRDefault="00DE0572" w:rsidP="00DE0572">
      <w:r>
        <w:t xml:space="preserve">Chris Robertson of </w:t>
      </w:r>
      <w:r w:rsidRPr="00D741BA">
        <w:t>Chris Robertson and Associates</w:t>
      </w:r>
      <w:r>
        <w:t xml:space="preserve"> commented that the president of </w:t>
      </w:r>
      <w:proofErr w:type="spellStart"/>
      <w:r>
        <w:t>SolarWorld</w:t>
      </w:r>
      <w:proofErr w:type="spellEnd"/>
      <w:r>
        <w:t xml:space="preserve"> USA committed his company to meeting the </w:t>
      </w:r>
      <w:proofErr w:type="spellStart"/>
      <w:r>
        <w:t>SunShot</w:t>
      </w:r>
      <w:proofErr w:type="spellEnd"/>
      <w:r>
        <w:t xml:space="preserve"> goal by 2020 </w:t>
      </w:r>
      <w:r w:rsidR="00875F05">
        <w:t>during</w:t>
      </w:r>
      <w:r>
        <w:t xml:space="preserve"> </w:t>
      </w:r>
      <w:r w:rsidRPr="001F6478">
        <w:t xml:space="preserve">an </w:t>
      </w:r>
      <w:r w:rsidR="00EB6B0D" w:rsidRPr="001F6478">
        <w:t>OSEA meeting in February 2014</w:t>
      </w:r>
      <w:r>
        <w:t xml:space="preserve">. </w:t>
      </w:r>
      <w:r w:rsidR="0099071C">
        <w:t xml:space="preserve">He said </w:t>
      </w:r>
      <w:proofErr w:type="spellStart"/>
      <w:r w:rsidR="0099071C">
        <w:t>Sun</w:t>
      </w:r>
      <w:r>
        <w:t>Power</w:t>
      </w:r>
      <w:proofErr w:type="spellEnd"/>
      <w:r>
        <w:t xml:space="preserve"> and First Solar are probably going to meet the goal before 2020. Robertson stated that </w:t>
      </w:r>
      <w:r w:rsidR="00222BEF">
        <w:t xml:space="preserve">a </w:t>
      </w:r>
      <w:r w:rsidR="00EA5EFE">
        <w:t>Portland</w:t>
      </w:r>
      <w:r>
        <w:t xml:space="preserve"> electrical contractor is offering </w:t>
      </w:r>
      <w:r w:rsidR="00222BEF">
        <w:t xml:space="preserve">EPC </w:t>
      </w:r>
      <w:r>
        <w:t xml:space="preserve">contracts </w:t>
      </w:r>
      <w:proofErr w:type="gramStart"/>
      <w:r>
        <w:t xml:space="preserve">at “$1.50 per watt with a 10¢ adder for 10 percent of the plant capacity and battery storage that will integrate the </w:t>
      </w:r>
      <w:r w:rsidR="00EA5EFE">
        <w:t>plant.</w:t>
      </w:r>
      <w:proofErr w:type="gramEnd"/>
      <w:r w:rsidR="00EA5EFE">
        <w:t xml:space="preserve"> That</w:t>
      </w:r>
      <w:r>
        <w:t xml:space="preserve"> will firm and balance the plant.” He added that he thinks the respective capital costs in the </w:t>
      </w:r>
      <w:r w:rsidR="00220D8F">
        <w:t>slides</w:t>
      </w:r>
      <w:r>
        <w:t xml:space="preserve"> are too high and the Council should “include a price vector that hits the 2020 </w:t>
      </w:r>
      <w:proofErr w:type="spellStart"/>
      <w:r>
        <w:t>SunShot</w:t>
      </w:r>
      <w:proofErr w:type="spellEnd"/>
      <w:r>
        <w:t xml:space="preserve"> initiative, particularly for utility-scale plants.”</w:t>
      </w:r>
    </w:p>
    <w:p w:rsidR="00755F56" w:rsidRDefault="00DE0572" w:rsidP="00DE0572">
      <w:r>
        <w:t xml:space="preserve">Simmons replied it would be interesting to see what it would take to meet the </w:t>
      </w:r>
      <w:proofErr w:type="spellStart"/>
      <w:r>
        <w:t>SunShot</w:t>
      </w:r>
      <w:proofErr w:type="spellEnd"/>
      <w:r>
        <w:t xml:space="preserve"> goal in regards to module and the balance of plant</w:t>
      </w:r>
      <w:r w:rsidR="00222BEF">
        <w:t xml:space="preserve"> costs</w:t>
      </w:r>
      <w:r w:rsidR="00755F56">
        <w:t>.</w:t>
      </w:r>
    </w:p>
    <w:p w:rsidR="00C07D72" w:rsidRDefault="00DE0572" w:rsidP="00DE0572">
      <w:r>
        <w:t>In regards to natural gas, Robertson asked if the data included the tax effects for fuel purchases</w:t>
      </w:r>
      <w:r w:rsidR="00C07D72">
        <w:t>.</w:t>
      </w:r>
    </w:p>
    <w:p w:rsidR="00C07D72" w:rsidRDefault="00DE0572" w:rsidP="00DE0572">
      <w:r>
        <w:t>Simmons replied that they were for fuel costs</w:t>
      </w:r>
      <w:r w:rsidR="00C07D72">
        <w:t>.</w:t>
      </w:r>
    </w:p>
    <w:p w:rsidR="00DE0572" w:rsidRDefault="00DE0572" w:rsidP="00DE0572">
      <w:r>
        <w:t xml:space="preserve">Robertson asked if the Council was “netting the fuel cost up, or grossing them up, to reflect the tax deduction for fuel costs in those plants.” </w:t>
      </w:r>
    </w:p>
    <w:p w:rsidR="00DE0572" w:rsidRDefault="00DE0572" w:rsidP="00DE0572">
      <w:r>
        <w:lastRenderedPageBreak/>
        <w:t>King replied that the Council treats fuel costs as expenses.</w:t>
      </w:r>
    </w:p>
    <w:p w:rsidR="00C07D72" w:rsidRDefault="00DE0572" w:rsidP="00DE0572">
      <w:r>
        <w:t xml:space="preserve">Robertson posed that if the Council wanted to do a more “symmetrical” comparison of solar PV and natural gas, would it not symmetrically compare the gas effect for both types of </w:t>
      </w:r>
      <w:r w:rsidR="00D16ACA">
        <w:t>plants</w:t>
      </w:r>
      <w:r w:rsidR="00C07D72">
        <w:t>.</w:t>
      </w:r>
    </w:p>
    <w:p w:rsidR="00C07D72" w:rsidRDefault="00222BEF" w:rsidP="00DE0572">
      <w:r>
        <w:t xml:space="preserve">King </w:t>
      </w:r>
      <w:r w:rsidR="00DE0572">
        <w:t>replied that the objective is to “reflect costs as they would pass through to the rate payers. In the real world, fuel costs are expensed, so there is no tax effect” because the tax effects are embedded in the fuel cost estimates</w:t>
      </w:r>
      <w:r w:rsidR="00C07D72">
        <w:t>.</w:t>
      </w:r>
    </w:p>
    <w:p w:rsidR="00C07D72" w:rsidRDefault="00DE0572" w:rsidP="00DE0572">
      <w:r>
        <w:t xml:space="preserve">In regards to transmission integration costs and system balancing costs, </w:t>
      </w:r>
      <w:r w:rsidR="00222BEF">
        <w:t xml:space="preserve">King </w:t>
      </w:r>
      <w:r>
        <w:t xml:space="preserve">clarified that the Council does include system balancing costs estimates in the transmission element of </w:t>
      </w:r>
      <w:proofErr w:type="spellStart"/>
      <w:r>
        <w:t>MicroFin</w:t>
      </w:r>
      <w:proofErr w:type="spellEnd"/>
      <w:r w:rsidR="00C07D72">
        <w:t>.</w:t>
      </w:r>
    </w:p>
    <w:p w:rsidR="00C07D72" w:rsidRDefault="00DE0572" w:rsidP="00DE0572">
      <w:r>
        <w:t xml:space="preserve">Sterling stated that Idaho Power is in the process of completing a solar integration study, which </w:t>
      </w:r>
      <w:r w:rsidR="007E31EA">
        <w:t>it</w:t>
      </w:r>
      <w:r>
        <w:t xml:space="preserve"> expect</w:t>
      </w:r>
      <w:r w:rsidR="007E31EA">
        <w:t>s</w:t>
      </w:r>
      <w:r>
        <w:t xml:space="preserve"> to complete in about three weeks. He said he heard that PacifiCorp is working on a solar integration study</w:t>
      </w:r>
      <w:r w:rsidR="00C07D72">
        <w:t>.</w:t>
      </w:r>
    </w:p>
    <w:p w:rsidR="00C07D72" w:rsidRDefault="00DE0572" w:rsidP="00DE0572">
      <w:r>
        <w:t xml:space="preserve">Schneider said, referring to the graph on </w:t>
      </w:r>
      <w:r w:rsidR="00FE5B13">
        <w:t>slide</w:t>
      </w:r>
      <w:r>
        <w:t xml:space="preserve"> 6, he thinks the “proposed” line looks reasonable. He cautioned against </w:t>
      </w:r>
      <w:r w:rsidR="007E31EA">
        <w:t>“</w:t>
      </w:r>
      <w:r>
        <w:t>low-price enthusiasm</w:t>
      </w:r>
      <w:r w:rsidR="007E31EA">
        <w:t>”</w:t>
      </w:r>
      <w:r>
        <w:t xml:space="preserve"> even though there is a lot of “group think and enthusiasm” in regards to decreasing solar costs, referring to the two data points and the goal under the “proposed” line</w:t>
      </w:r>
      <w:r w:rsidR="00C07D72">
        <w:t>.</w:t>
      </w:r>
    </w:p>
    <w:p w:rsidR="00C07D72" w:rsidRDefault="00DE0572" w:rsidP="00DE0572">
      <w:proofErr w:type="spellStart"/>
      <w:r>
        <w:t>Heutte</w:t>
      </w:r>
      <w:proofErr w:type="spellEnd"/>
      <w:r>
        <w:t xml:space="preserve"> responded that the projections about decreasing costs are more than just “group think” </w:t>
      </w:r>
      <w:r w:rsidR="009B7525">
        <w:t xml:space="preserve">and </w:t>
      </w:r>
      <w:r>
        <w:t>the projections are more than guesses. He said there is reputable data that points to lower solar costs in the future. Black said the topic of solar costs lends itself to a scenario analysis for the Seventh Plan</w:t>
      </w:r>
      <w:r w:rsidR="008B6DA4">
        <w:t xml:space="preserve">. He stated </w:t>
      </w:r>
      <w:r>
        <w:t xml:space="preserve">the Council could examine what-ifs regarding the meeting of the </w:t>
      </w:r>
      <w:proofErr w:type="spellStart"/>
      <w:r>
        <w:t>SunShot</w:t>
      </w:r>
      <w:proofErr w:type="spellEnd"/>
      <w:r>
        <w:t xml:space="preserve"> goal and a technological breakthrough in energy storage. He said the purpose of the projections is to be able to prepare for different outcomes that may occur</w:t>
      </w:r>
      <w:r w:rsidR="00C07D72">
        <w:t>.</w:t>
      </w:r>
    </w:p>
    <w:p w:rsidR="00DE0572" w:rsidRDefault="00DE0572" w:rsidP="00DE0572">
      <w:r>
        <w:t xml:space="preserve">Black then commented on how the GRAC develops information for use in the overall Power Plan analysis. He explained how the Council derives it </w:t>
      </w:r>
      <w:r w:rsidR="00126991">
        <w:t>system-balancing</w:t>
      </w:r>
      <w:r>
        <w:t xml:space="preserve"> costs for the Seventh Plan. He then said </w:t>
      </w:r>
      <w:proofErr w:type="gramStart"/>
      <w:r>
        <w:t>it’s</w:t>
      </w:r>
      <w:proofErr w:type="gramEnd"/>
      <w:r>
        <w:t xml:space="preserve"> important to be consistent about how one creates assumptions instead of </w:t>
      </w:r>
      <w:r w:rsidR="00126991">
        <w:t>“</w:t>
      </w:r>
      <w:r>
        <w:t>presume the overall costs of integrating, or balancing, the system with or without solar.</w:t>
      </w:r>
      <w:r w:rsidR="00126991">
        <w:t>”</w:t>
      </w:r>
      <w:r>
        <w:t xml:space="preserve"> </w:t>
      </w:r>
    </w:p>
    <w:p w:rsidR="00C07D72" w:rsidRDefault="00DE0572" w:rsidP="00DE0572">
      <w:r>
        <w:t>David Nightingale with the</w:t>
      </w:r>
      <w:r w:rsidRPr="00940801">
        <w:t xml:space="preserve"> W</w:t>
      </w:r>
      <w:r>
        <w:t>ashington</w:t>
      </w:r>
      <w:r w:rsidRPr="00940801">
        <w:t xml:space="preserve"> Utilities and Transportation Commission</w:t>
      </w:r>
      <w:r>
        <w:t xml:space="preserve"> said he thinks that completing a scenario </w:t>
      </w:r>
      <w:r w:rsidR="001D1A96">
        <w:t xml:space="preserve">analysis </w:t>
      </w:r>
      <w:r>
        <w:t>is a good idea</w:t>
      </w:r>
      <w:r w:rsidR="00C07D72">
        <w:t>.</w:t>
      </w:r>
    </w:p>
    <w:p w:rsidR="00C07D72" w:rsidRDefault="00DE0572" w:rsidP="00DE0572">
      <w:r>
        <w:t xml:space="preserve">David Brown with Obsidian </w:t>
      </w:r>
      <w:proofErr w:type="spellStart"/>
      <w:r>
        <w:t>Renewables</w:t>
      </w:r>
      <w:proofErr w:type="spellEnd"/>
      <w:r>
        <w:t xml:space="preserve"> said the cost of solar today in Oregon and Idaho for a 10-megawatt project is about $2.30 per watt (DC) in 2015 dollars. He stated the cost </w:t>
      </w:r>
      <w:r w:rsidR="00E12DED">
        <w:t>w</w:t>
      </w:r>
      <w:r>
        <w:t xml:space="preserve">ould be </w:t>
      </w:r>
      <w:r w:rsidR="00BF6F06">
        <w:t>lower</w:t>
      </w:r>
      <w:r>
        <w:t xml:space="preserve"> if more than one project </w:t>
      </w:r>
      <w:proofErr w:type="gramStart"/>
      <w:r>
        <w:t>was built</w:t>
      </w:r>
      <w:proofErr w:type="gramEnd"/>
      <w:r>
        <w:t xml:space="preserve"> per year. D. Brown also noted that solar projects in the Northwest have difficulties securing good financing and finding low costs. He </w:t>
      </w:r>
      <w:r w:rsidR="003D4B7A">
        <w:t>said</w:t>
      </w:r>
      <w:r>
        <w:t xml:space="preserve"> the cost of solar will never be higher than $2.30 and </w:t>
      </w:r>
      <w:proofErr w:type="gramStart"/>
      <w:r w:rsidR="001D1A96">
        <w:t>its</w:t>
      </w:r>
      <w:proofErr w:type="gramEnd"/>
      <w:r w:rsidR="001D1A96">
        <w:t xml:space="preserve"> not necessarily due to the panels</w:t>
      </w:r>
      <w:r w:rsidR="00C67C6A">
        <w:t xml:space="preserve">. </w:t>
      </w:r>
      <w:r w:rsidR="001D1A96">
        <w:t>He stated that the market has adjusted to a one-</w:t>
      </w:r>
      <w:r w:rsidR="001D1A96">
        <w:lastRenderedPageBreak/>
        <w:t xml:space="preserve">time deal </w:t>
      </w:r>
      <w:r w:rsidR="0031796F">
        <w:t xml:space="preserve">and </w:t>
      </w:r>
      <w:r>
        <w:t xml:space="preserve">the </w:t>
      </w:r>
      <w:r w:rsidR="003D4B7A">
        <w:t>rate</w:t>
      </w:r>
      <w:r>
        <w:t xml:space="preserve"> will continue to decrease because PV panels produce so much more energy per square inch than they used to. The more efficient solar panels become, the lower the associated cost</w:t>
      </w:r>
      <w:r w:rsidR="0031796F">
        <w:t>s</w:t>
      </w:r>
      <w:r>
        <w:t xml:space="preserve"> are. D. Brown suggested changing the size of the reference plant to 10 or 20 megawatts</w:t>
      </w:r>
      <w:r w:rsidR="00C07D72">
        <w:t>.</w:t>
      </w:r>
    </w:p>
    <w:p w:rsidR="00C07D72" w:rsidRDefault="00DE0572" w:rsidP="00DE0572">
      <w:r>
        <w:t>D. Brown and Simmons discussed the cost of solar power and adjusting it AC or DC. They also talked about using 2012 dollars versus 2015 dollars</w:t>
      </w:r>
      <w:r w:rsidR="00C07D72">
        <w:t>.</w:t>
      </w:r>
    </w:p>
    <w:p w:rsidR="00DE0572" w:rsidRDefault="00DE0572" w:rsidP="00DE0572">
      <w:r>
        <w:t>D. Brown talked about the cost of power and the amount that property taxes figure into the price.</w:t>
      </w:r>
    </w:p>
    <w:p w:rsidR="00DE0572" w:rsidRDefault="00DE0572" w:rsidP="00DE0572">
      <w:r>
        <w:t xml:space="preserve">King said the costs </w:t>
      </w:r>
      <w:r w:rsidR="009B6EE2">
        <w:t>would</w:t>
      </w:r>
      <w:r>
        <w:t xml:space="preserve"> ultimately go into the </w:t>
      </w:r>
      <w:r w:rsidR="0031796F">
        <w:t xml:space="preserve">Council’s Regional </w:t>
      </w:r>
      <w:r>
        <w:t>Portfolio Model, which treats capital costs like stochastic variables. He suggested the Council estimate the range of uncertainty for the respective costs and think of the costs as a “cost band” because “some of that can be captured in the Council’s analysis.”</w:t>
      </w:r>
    </w:p>
    <w:p w:rsidR="00C07D72" w:rsidRDefault="00DE0572" w:rsidP="00DE0572">
      <w:proofErr w:type="spellStart"/>
      <w:r>
        <w:t>Heutte</w:t>
      </w:r>
      <w:proofErr w:type="spellEnd"/>
      <w:r>
        <w:t xml:space="preserve"> said he thinks that the band will narrow as the solar market grows. He then discussed the variability of associated costs and the demonstration of the narrowing costs in an analysis</w:t>
      </w:r>
      <w:r w:rsidR="00C07D72">
        <w:t>.</w:t>
      </w:r>
    </w:p>
    <w:p w:rsidR="00DE0572" w:rsidRDefault="00DE0572" w:rsidP="00DE0572">
      <w:pPr>
        <w:pStyle w:val="Heading3"/>
      </w:pPr>
      <w:proofErr w:type="spellStart"/>
      <w:r>
        <w:t>Levelized</w:t>
      </w:r>
      <w:proofErr w:type="spellEnd"/>
      <w:r>
        <w:t xml:space="preserve"> Cost of Energy: Solar PV Utility Scale</w:t>
      </w:r>
    </w:p>
    <w:p w:rsidR="00DE0572" w:rsidRDefault="00DE0572" w:rsidP="00DE0572">
      <w:r>
        <w:t xml:space="preserve">Simmons explained the </w:t>
      </w:r>
      <w:proofErr w:type="spellStart"/>
      <w:r w:rsidR="00171B50">
        <w:t>levelized</w:t>
      </w:r>
      <w:proofErr w:type="spellEnd"/>
      <w:r w:rsidR="00171B50">
        <w:t xml:space="preserve"> cost of energy for utility scale solar PV </w:t>
      </w:r>
      <w:r>
        <w:t xml:space="preserve">graph on </w:t>
      </w:r>
      <w:r w:rsidR="00FE5B13">
        <w:t>slide</w:t>
      </w:r>
      <w:r w:rsidR="00565293">
        <w:t xml:space="preserve"> 13</w:t>
      </w:r>
      <w:r>
        <w:t xml:space="preserve">. He noted that he used the </w:t>
      </w:r>
      <w:proofErr w:type="spellStart"/>
      <w:r>
        <w:t>MicroFin</w:t>
      </w:r>
      <w:proofErr w:type="spellEnd"/>
      <w:r>
        <w:t xml:space="preserve"> model for the graph and an investor-owned utility (IOU) financing assumption.</w:t>
      </w:r>
    </w:p>
    <w:p w:rsidR="00DE0572" w:rsidRDefault="00DE0572" w:rsidP="00DE0572">
      <w:r>
        <w:t xml:space="preserve">In response to Black’s questions, Simmons stated </w:t>
      </w:r>
      <w:r w:rsidR="00611E45">
        <w:t>the model assumed</w:t>
      </w:r>
      <w:r>
        <w:t xml:space="preserve"> a 30 percent </w:t>
      </w:r>
      <w:r w:rsidR="00CD672B">
        <w:t>Investment Tax Credit</w:t>
      </w:r>
      <w:r>
        <w:t xml:space="preserve"> through </w:t>
      </w:r>
      <w:r w:rsidR="00611E45">
        <w:t xml:space="preserve">2016 </w:t>
      </w:r>
      <w:r>
        <w:t xml:space="preserve">and a 10 percent </w:t>
      </w:r>
      <w:r w:rsidR="00CD672B">
        <w:t>Investment Tax Credit</w:t>
      </w:r>
      <w:r>
        <w:t xml:space="preserve"> starting in </w:t>
      </w:r>
      <w:r w:rsidR="00611E45">
        <w:t>2017</w:t>
      </w:r>
      <w:r>
        <w:t>.</w:t>
      </w:r>
    </w:p>
    <w:p w:rsidR="00C07D72" w:rsidRDefault="00DE0572" w:rsidP="00DE0572">
      <w:r>
        <w:t>Dockery asked how the Council is monetizing the tax incentives in regards to the “Council with Municipal Financing” line in the respective graph</w:t>
      </w:r>
      <w:r w:rsidR="00C07D72">
        <w:t>.</w:t>
      </w:r>
    </w:p>
    <w:p w:rsidR="00DE0572" w:rsidRDefault="00DE0572" w:rsidP="00DE0572">
      <w:r>
        <w:t>Simmons replied that the production tax incentive is in the same category.</w:t>
      </w:r>
    </w:p>
    <w:p w:rsidR="00C07D72" w:rsidRDefault="00DE0572" w:rsidP="00DE0572">
      <w:r>
        <w:t xml:space="preserve">King said Congress has not fully funded the incentives, so it may not be realistic to assume that </w:t>
      </w:r>
      <w:proofErr w:type="gramStart"/>
      <w:r>
        <w:t>it’s</w:t>
      </w:r>
      <w:proofErr w:type="gramEnd"/>
      <w:r>
        <w:t xml:space="preserve"> available</w:t>
      </w:r>
      <w:r w:rsidR="00C07D72">
        <w:t>.</w:t>
      </w:r>
    </w:p>
    <w:p w:rsidR="00C07D72" w:rsidRDefault="00DE0572" w:rsidP="00DE0572">
      <w:r>
        <w:lastRenderedPageBreak/>
        <w:t xml:space="preserve">Black said that in other states, like California, there are arrangements so a non-utility developer can take advantage of the </w:t>
      </w:r>
      <w:r w:rsidR="00CD672B">
        <w:t>Investment Tax Credit</w:t>
      </w:r>
      <w:r>
        <w:t xml:space="preserve"> and pre-payments that </w:t>
      </w:r>
      <w:proofErr w:type="gramStart"/>
      <w:r>
        <w:t>are funded</w:t>
      </w:r>
      <w:proofErr w:type="gramEnd"/>
      <w:r>
        <w:t xml:space="preserve"> through tax-exempt financing by publically owned facilities</w:t>
      </w:r>
      <w:r w:rsidR="00C07D72">
        <w:t>.</w:t>
      </w:r>
    </w:p>
    <w:p w:rsidR="00DE0572" w:rsidRDefault="00DE0572" w:rsidP="00DE0572">
      <w:proofErr w:type="spellStart"/>
      <w:r>
        <w:t>LeVee</w:t>
      </w:r>
      <w:proofErr w:type="spellEnd"/>
      <w:r>
        <w:t xml:space="preserve"> commented that when one considers financing costs to be the same as economic costs, it is like comparing apples to oranges. </w:t>
      </w:r>
      <w:proofErr w:type="gramStart"/>
      <w:r>
        <w:t xml:space="preserve">He said that since the two are not the same, there has to be a clear </w:t>
      </w:r>
      <w:r w:rsidR="00985A42">
        <w:t>“</w:t>
      </w:r>
      <w:r>
        <w:t>vision</w:t>
      </w:r>
      <w:r w:rsidR="00985A42">
        <w:t>”</w:t>
      </w:r>
      <w:r>
        <w:t xml:space="preserve"> about if one is considering the “least economic, most efficient way of providing services to customers or whether you’re trying to look at financing costs where you actually—with PPAs or public ownership—have done a shift of risk between different parties and a shifted risk to either the purchaser of the energy through a PPA or through public through risk to the public ownership.</w:t>
      </w:r>
      <w:proofErr w:type="gramEnd"/>
      <w:r>
        <w:t xml:space="preserve"> It appears that the cost-to-capital goes down or changes, and that is really not the case in economic terms.” </w:t>
      </w:r>
      <w:proofErr w:type="spellStart"/>
      <w:r>
        <w:t>LeVee</w:t>
      </w:r>
      <w:proofErr w:type="spellEnd"/>
      <w:r>
        <w:t xml:space="preserve"> said he thinks they need to address whether </w:t>
      </w:r>
      <w:proofErr w:type="gramStart"/>
      <w:r>
        <w:t>they’re</w:t>
      </w:r>
      <w:proofErr w:type="gramEnd"/>
      <w:r>
        <w:t xml:space="preserve"> trying to do an economic analysis or are “convoluting things by doing risk shifting and perceiving that there is a different cost to capital.”   </w:t>
      </w:r>
    </w:p>
    <w:p w:rsidR="00C07D72" w:rsidRDefault="00DE0572" w:rsidP="00DE0572">
      <w:r>
        <w:t xml:space="preserve">Simmons replied that the capital costs </w:t>
      </w:r>
      <w:proofErr w:type="gramStart"/>
      <w:r>
        <w:t>are expected</w:t>
      </w:r>
      <w:proofErr w:type="gramEnd"/>
      <w:r>
        <w:t xml:space="preserve"> to decline, which is what the respective graph shows</w:t>
      </w:r>
      <w:r w:rsidR="00C07D72">
        <w:t>.</w:t>
      </w:r>
    </w:p>
    <w:p w:rsidR="00C07D72" w:rsidRDefault="00DE0572" w:rsidP="00DE0572">
      <w:r>
        <w:t xml:space="preserve">King commented that </w:t>
      </w:r>
      <w:proofErr w:type="gramStart"/>
      <w:r>
        <w:t>they’ve</w:t>
      </w:r>
      <w:proofErr w:type="gramEnd"/>
      <w:r>
        <w:t xml:space="preserve"> dealt with the issue </w:t>
      </w:r>
      <w:proofErr w:type="spellStart"/>
      <w:r>
        <w:t>LeVee</w:t>
      </w:r>
      <w:proofErr w:type="spellEnd"/>
      <w:r>
        <w:t xml:space="preserve"> brought up regarding risk shifting affecting financing costs by </w:t>
      </w:r>
      <w:r w:rsidR="00322579">
        <w:t xml:space="preserve">exclusively </w:t>
      </w:r>
      <w:r>
        <w:t>assuming IOU financing, which assumes a more consistent allocation of risks. He discussed how the Council dealt with similar issues in the past</w:t>
      </w:r>
      <w:r w:rsidR="00F54D3C">
        <w:t xml:space="preserve"> and talked about </w:t>
      </w:r>
      <w:r>
        <w:t>risks due to technology characteristics</w:t>
      </w:r>
      <w:r w:rsidR="00C07D72">
        <w:t>.</w:t>
      </w:r>
    </w:p>
    <w:p w:rsidR="00DE0572" w:rsidRDefault="00DE0572" w:rsidP="00DE0572">
      <w:r>
        <w:t xml:space="preserve">Robertson suggested it </w:t>
      </w:r>
      <w:r w:rsidR="006029C9">
        <w:t>might</w:t>
      </w:r>
      <w:r>
        <w:t xml:space="preserve"> be useful to include the Idaho Power IPP </w:t>
      </w:r>
      <w:proofErr w:type="spellStart"/>
      <w:r>
        <w:t>levelized</w:t>
      </w:r>
      <w:proofErr w:type="spellEnd"/>
      <w:r>
        <w:t xml:space="preserve"> costs using the IPP avoided cost strip as a surrogate for the IPP price.</w:t>
      </w:r>
    </w:p>
    <w:p w:rsidR="00C07D72" w:rsidRDefault="00DE0572" w:rsidP="00DE0572">
      <w:r>
        <w:t xml:space="preserve">D. Brown stated there are </w:t>
      </w:r>
      <w:r w:rsidR="00386F0D">
        <w:t>“</w:t>
      </w:r>
      <w:r w:rsidR="0002083F">
        <w:t>easily available</w:t>
      </w:r>
      <w:r w:rsidR="00386F0D">
        <w:t>”</w:t>
      </w:r>
      <w:r w:rsidR="0002083F">
        <w:t xml:space="preserve"> </w:t>
      </w:r>
      <w:r>
        <w:t xml:space="preserve">municipal finance strategies that can </w:t>
      </w:r>
      <w:r w:rsidR="002C4296">
        <w:t xml:space="preserve">reduce the cost of electricity by </w:t>
      </w:r>
      <w:r>
        <w:t xml:space="preserve">20 percent. He talked about </w:t>
      </w:r>
      <w:r w:rsidR="001C7EF6">
        <w:t xml:space="preserve">the </w:t>
      </w:r>
      <w:r>
        <w:t>different financing strategies that could be available to IOUs and about the laws affecting those strategies</w:t>
      </w:r>
      <w:r w:rsidR="00C07D72">
        <w:t>.</w:t>
      </w:r>
    </w:p>
    <w:p w:rsidR="00C07D72" w:rsidRDefault="00DE0572" w:rsidP="00DE0572">
      <w:r>
        <w:t xml:space="preserve">S. Brown asked if a municipal’s cost-to-capital applies since it </w:t>
      </w:r>
      <w:proofErr w:type="gramStart"/>
      <w:r>
        <w:t>can’t</w:t>
      </w:r>
      <w:proofErr w:type="gramEnd"/>
      <w:r>
        <w:t xml:space="preserve"> take advantage of the </w:t>
      </w:r>
      <w:r w:rsidR="00CD672B">
        <w:t>Investment Tax Credit</w:t>
      </w:r>
      <w:r w:rsidR="00C07D72">
        <w:t>.</w:t>
      </w:r>
    </w:p>
    <w:p w:rsidR="00C07D72" w:rsidRDefault="00DE0572" w:rsidP="00DE0572">
      <w:r>
        <w:t xml:space="preserve">In regards to Simmons’ and S. Brown’s comments, D. Brown said </w:t>
      </w:r>
      <w:proofErr w:type="spellStart"/>
      <w:r>
        <w:t>levelized</w:t>
      </w:r>
      <w:proofErr w:type="spellEnd"/>
      <w:r>
        <w:t xml:space="preserve"> costs can be higher than PPAs when utilities learn from past occurrences and inflate reported capital numbers, or when they add </w:t>
      </w:r>
      <w:r w:rsidR="00427E98">
        <w:t xml:space="preserve">to </w:t>
      </w:r>
      <w:r>
        <w:t xml:space="preserve">some of their internal costs </w:t>
      </w:r>
      <w:r w:rsidR="00427E98">
        <w:t>for</w:t>
      </w:r>
      <w:r>
        <w:t xml:space="preserve"> a PPA price </w:t>
      </w:r>
      <w:r w:rsidR="00427E98">
        <w:t xml:space="preserve">when determining </w:t>
      </w:r>
      <w:r>
        <w:t>the cost of a generating facility</w:t>
      </w:r>
      <w:r w:rsidR="00C07D72">
        <w:t>.</w:t>
      </w:r>
    </w:p>
    <w:p w:rsidR="00DE0572" w:rsidRDefault="00DE0572" w:rsidP="00DE0572">
      <w:pPr>
        <w:pStyle w:val="Heading3"/>
      </w:pPr>
      <w:proofErr w:type="spellStart"/>
      <w:r>
        <w:t>Levelized</w:t>
      </w:r>
      <w:proofErr w:type="spellEnd"/>
      <w:r>
        <w:t xml:space="preserve"> Cost of Energy: Natural Gas Combined-Cycle CT</w:t>
      </w:r>
    </w:p>
    <w:p w:rsidR="00C07D72" w:rsidRDefault="00DE0572" w:rsidP="00DE0572">
      <w:r>
        <w:t xml:space="preserve">Simmons explained the </w:t>
      </w:r>
      <w:proofErr w:type="spellStart"/>
      <w:r w:rsidR="006B302E">
        <w:t>levelized</w:t>
      </w:r>
      <w:proofErr w:type="spellEnd"/>
      <w:r w:rsidR="006B302E">
        <w:t xml:space="preserve"> cost of natural gas combined cycle </w:t>
      </w:r>
      <w:r>
        <w:t xml:space="preserve">graph on </w:t>
      </w:r>
      <w:r w:rsidR="00FE5B13">
        <w:t>slide</w:t>
      </w:r>
      <w:r>
        <w:t xml:space="preserve"> 14. He noted that the figures </w:t>
      </w:r>
      <w:proofErr w:type="gramStart"/>
      <w:r>
        <w:t>are based</w:t>
      </w:r>
      <w:proofErr w:type="gramEnd"/>
      <w:r>
        <w:t xml:space="preserve"> on </w:t>
      </w:r>
      <w:r w:rsidR="006B302E">
        <w:t>the Council’s 2013</w:t>
      </w:r>
      <w:r w:rsidR="001F6478">
        <w:t xml:space="preserve"> </w:t>
      </w:r>
      <w:r>
        <w:t>fuel price forecast</w:t>
      </w:r>
      <w:r w:rsidR="00C07D72">
        <w:t>.</w:t>
      </w:r>
    </w:p>
    <w:p w:rsidR="00C07D72" w:rsidRDefault="00DE0572" w:rsidP="00DE0572">
      <w:r>
        <w:lastRenderedPageBreak/>
        <w:t xml:space="preserve">In response to Black’s question, Simmons </w:t>
      </w:r>
      <w:r w:rsidR="001C50B2">
        <w:t>said</w:t>
      </w:r>
      <w:r>
        <w:t xml:space="preserve"> they assumed an 85 percent capacity factor</w:t>
      </w:r>
      <w:r w:rsidR="00C07D72">
        <w:t>.</w:t>
      </w:r>
    </w:p>
    <w:p w:rsidR="00C07D72" w:rsidRDefault="00DE0572" w:rsidP="00DE0572">
      <w:proofErr w:type="spellStart"/>
      <w:r>
        <w:t>Heutte</w:t>
      </w:r>
      <w:proofErr w:type="spellEnd"/>
      <w:r>
        <w:t xml:space="preserve"> asked about the prices used for low, </w:t>
      </w:r>
      <w:r w:rsidR="004C275A">
        <w:t>medium</w:t>
      </w:r>
      <w:r>
        <w:t xml:space="preserve"> and high fuel sensitivities</w:t>
      </w:r>
      <w:r w:rsidR="00C07D72">
        <w:t>.</w:t>
      </w:r>
    </w:p>
    <w:p w:rsidR="00C07D72" w:rsidRDefault="00DE0572" w:rsidP="00DE0572">
      <w:r>
        <w:t xml:space="preserve">Simmons replied that the Natural Gas Advisory Committee </w:t>
      </w:r>
      <w:r w:rsidR="006B302E">
        <w:t xml:space="preserve">advised on </w:t>
      </w:r>
      <w:r>
        <w:t>the prices</w:t>
      </w:r>
      <w:r w:rsidR="00C07D72">
        <w:t>.</w:t>
      </w:r>
    </w:p>
    <w:p w:rsidR="00DE0572" w:rsidRDefault="0071407C" w:rsidP="00DE0572">
      <w:r>
        <w:t xml:space="preserve">Black added that the </w:t>
      </w:r>
      <w:r w:rsidR="00DE0572">
        <w:t>medium price</w:t>
      </w:r>
      <w:r>
        <w:t xml:space="preserve"> range</w:t>
      </w:r>
      <w:r w:rsidR="00DE0572">
        <w:t xml:space="preserve"> is in the mid-$4.00 range.</w:t>
      </w:r>
    </w:p>
    <w:p w:rsidR="00C07D72" w:rsidRDefault="00DE0572" w:rsidP="00DE0572">
      <w:proofErr w:type="spellStart"/>
      <w:r>
        <w:t>Heutte</w:t>
      </w:r>
      <w:proofErr w:type="spellEnd"/>
      <w:r>
        <w:t xml:space="preserve"> commented that he thinks the prices are unrealistic</w:t>
      </w:r>
      <w:r w:rsidR="00CB7E2B">
        <w:t>;</w:t>
      </w:r>
      <w:r>
        <w:t xml:space="preserve"> he would adjust the high-end costs. He discussed using a “band” for prices, as they fluctuate</w:t>
      </w:r>
      <w:r w:rsidR="00C07D72">
        <w:t>.</w:t>
      </w:r>
    </w:p>
    <w:p w:rsidR="00C07D72" w:rsidRDefault="00DE0572" w:rsidP="00DE0572">
      <w:r>
        <w:t>Simmons stated the graph begins in 2020 and has a 30-year outlook</w:t>
      </w:r>
      <w:r w:rsidR="00C07D72">
        <w:t>.</w:t>
      </w:r>
    </w:p>
    <w:p w:rsidR="00C07D72" w:rsidRDefault="00DE0572" w:rsidP="00DE0572">
      <w:r>
        <w:t>D. Brown asked how the graph reflects inflation</w:t>
      </w:r>
      <w:r w:rsidR="00C07D72">
        <w:t>.</w:t>
      </w:r>
    </w:p>
    <w:p w:rsidR="00C07D72" w:rsidRDefault="00DE0572" w:rsidP="00DE0572">
      <w:r>
        <w:t xml:space="preserve">Simmons replied that the figures on the graph are in </w:t>
      </w:r>
      <w:r w:rsidR="00DE3E31">
        <w:t>“</w:t>
      </w:r>
      <w:r>
        <w:t>real</w:t>
      </w:r>
      <w:r w:rsidR="00DE3E31">
        <w:t>”</w:t>
      </w:r>
      <w:r>
        <w:t xml:space="preserve"> 2012 dollars, which </w:t>
      </w:r>
      <w:proofErr w:type="gramStart"/>
      <w:r>
        <w:t>aren’t</w:t>
      </w:r>
      <w:proofErr w:type="gramEnd"/>
      <w:r>
        <w:t xml:space="preserve"> nominal, so inflation is not reflected. However, one could apply an inflation rate</w:t>
      </w:r>
      <w:r w:rsidR="00C07D72">
        <w:t>.</w:t>
      </w:r>
    </w:p>
    <w:p w:rsidR="00DE0572" w:rsidRDefault="00DE0572" w:rsidP="00DE0572">
      <w:r>
        <w:t>Nightingale asked if the Council is going to c</w:t>
      </w:r>
      <w:r w:rsidR="00CB78C3">
        <w:t xml:space="preserve">reate scenarios for fossil fuel </w:t>
      </w:r>
      <w:r>
        <w:t>generating resources.</w:t>
      </w:r>
    </w:p>
    <w:p w:rsidR="00C07D72" w:rsidRDefault="00DE0572" w:rsidP="00DE0572">
      <w:r>
        <w:t xml:space="preserve">Simmons </w:t>
      </w:r>
      <w:r w:rsidR="006B302E">
        <w:t xml:space="preserve">responded </w:t>
      </w:r>
      <w:r>
        <w:t xml:space="preserve">that </w:t>
      </w:r>
      <w:r w:rsidR="006B302E">
        <w:t>the</w:t>
      </w:r>
      <w:r>
        <w:t xml:space="preserve"> scenarios</w:t>
      </w:r>
      <w:r w:rsidR="006B302E">
        <w:t xml:space="preserve"> </w:t>
      </w:r>
      <w:proofErr w:type="gramStart"/>
      <w:r w:rsidR="006B302E">
        <w:t>will</w:t>
      </w:r>
      <w:proofErr w:type="gramEnd"/>
      <w:r w:rsidR="006B302E">
        <w:t xml:space="preserve"> be developed with input from the Resource Strategies Advisory Committee (RSAC). </w:t>
      </w:r>
      <w:r>
        <w:t>Black added that they</w:t>
      </w:r>
      <w:r w:rsidR="005D5603">
        <w:t xml:space="preserve"> would</w:t>
      </w:r>
      <w:r>
        <w:t xml:space="preserve"> include different gas price scenarios</w:t>
      </w:r>
      <w:r w:rsidR="00164F5C">
        <w:t xml:space="preserve"> </w:t>
      </w:r>
      <w:r w:rsidR="003F0B48">
        <w:t xml:space="preserve">and </w:t>
      </w:r>
      <w:r w:rsidR="00A3284E">
        <w:t>would</w:t>
      </w:r>
      <w:r w:rsidR="00164F5C">
        <w:t xml:space="preserve"> analyze</w:t>
      </w:r>
      <w:r>
        <w:t xml:space="preserve"> green house gas scenarios on a portfolio basis</w:t>
      </w:r>
      <w:r w:rsidR="00C07D72">
        <w:t>.</w:t>
      </w:r>
    </w:p>
    <w:p w:rsidR="00DE0572" w:rsidRDefault="00DE0572" w:rsidP="00DE0572">
      <w:pPr>
        <w:pStyle w:val="Heading3"/>
      </w:pPr>
      <w:proofErr w:type="spellStart"/>
      <w:r>
        <w:t>Levelized</w:t>
      </w:r>
      <w:proofErr w:type="spellEnd"/>
      <w:r>
        <w:t xml:space="preserve"> Cost of Energy: Solar PV &amp; Natural Gas CCCT</w:t>
      </w:r>
    </w:p>
    <w:p w:rsidR="00C07D72" w:rsidRDefault="00DE0572" w:rsidP="00DE0572">
      <w:r>
        <w:t xml:space="preserve">Simmons reviewed the graph on </w:t>
      </w:r>
      <w:r w:rsidR="00FE5B13">
        <w:t>slide</w:t>
      </w:r>
      <w:r>
        <w:t xml:space="preserve"> 15</w:t>
      </w:r>
      <w:r w:rsidR="00C07D72">
        <w:t>.</w:t>
      </w:r>
    </w:p>
    <w:p w:rsidR="00DE0572" w:rsidRPr="00CA742A" w:rsidRDefault="00DE0572" w:rsidP="00DE0572">
      <w:pPr>
        <w:pStyle w:val="Heading1"/>
      </w:pPr>
      <w:r>
        <w:t>Preliminary Assumptions for Wind Technologies</w:t>
      </w:r>
    </w:p>
    <w:p w:rsidR="00DE0572" w:rsidRDefault="00DE0572" w:rsidP="00DE0572">
      <w:pPr>
        <w:pStyle w:val="Subtitle"/>
      </w:pPr>
      <w:r>
        <w:t>Presenters: Gillian Charles and Steve Simmons, Northwest Power and Conservation Council</w:t>
      </w:r>
    </w:p>
    <w:p w:rsidR="00755F56" w:rsidRDefault="00DE0572" w:rsidP="00DE0572">
      <w:r>
        <w:t xml:space="preserve">Charles </w:t>
      </w:r>
      <w:r w:rsidR="005D5603">
        <w:t xml:space="preserve">gave an overview of the presentation, which was a first-look at </w:t>
      </w:r>
      <w:proofErr w:type="spellStart"/>
      <w:r w:rsidR="005D5603">
        <w:t>windpower</w:t>
      </w:r>
      <w:proofErr w:type="spellEnd"/>
      <w:r w:rsidR="005D5603">
        <w:t xml:space="preserve"> technologies for the draft Seventh Power Plan</w:t>
      </w:r>
      <w:r w:rsidR="00206853">
        <w:t xml:space="preserve">. </w:t>
      </w:r>
      <w:r w:rsidR="005D5603">
        <w:t xml:space="preserve">She briefly described the </w:t>
      </w:r>
      <w:proofErr w:type="gramStart"/>
      <w:r w:rsidR="005D5603">
        <w:t>current status</w:t>
      </w:r>
      <w:proofErr w:type="gramEnd"/>
      <w:r w:rsidR="005D5603">
        <w:t xml:space="preserve"> of wind in the Pacific Northwest, noting that 2012 was a big year in terms of new wind installed but that there has been very little development since</w:t>
      </w:r>
      <w:r w:rsidR="00755F56">
        <w:t>.</w:t>
      </w:r>
    </w:p>
    <w:p w:rsidR="00DE0572" w:rsidRDefault="00DE0572" w:rsidP="00DE0572">
      <w:pPr>
        <w:pStyle w:val="Heading2"/>
      </w:pPr>
      <w:r>
        <w:t>Current Installed Wind Projects</w:t>
      </w:r>
    </w:p>
    <w:p w:rsidR="00C07D72" w:rsidRDefault="00DE0572" w:rsidP="00DE0572">
      <w:r>
        <w:t xml:space="preserve">Charles discussed the map on </w:t>
      </w:r>
      <w:r w:rsidR="00FE5B13">
        <w:t>slide</w:t>
      </w:r>
      <w:r>
        <w:t xml:space="preserve"> 4. She noted that the wind projects highlighted on the map are in operation</w:t>
      </w:r>
      <w:r w:rsidR="00C07D72">
        <w:t>.</w:t>
      </w:r>
    </w:p>
    <w:p w:rsidR="00DE0572" w:rsidRDefault="00DE0572" w:rsidP="00DE0572">
      <w:r>
        <w:lastRenderedPageBreak/>
        <w:t xml:space="preserve">Charles </w:t>
      </w:r>
      <w:r w:rsidR="008377C4">
        <w:t>discussed the drivers of wind development on</w:t>
      </w:r>
      <w:r>
        <w:t xml:space="preserve"> </w:t>
      </w:r>
      <w:r w:rsidR="00FE5B13">
        <w:t>slide</w:t>
      </w:r>
      <w:r w:rsidR="00205005">
        <w:t xml:space="preserve"> 5</w:t>
      </w:r>
      <w:r w:rsidR="008377C4">
        <w:t>, noting that the state renewable portfolio standards (RPS) and Federal and Regional tax credits and incentives were major drivers to date</w:t>
      </w:r>
      <w:r w:rsidR="00206853">
        <w:t xml:space="preserve">. </w:t>
      </w:r>
      <w:r w:rsidR="008377C4">
        <w:t>In addition, wind is an emission-free resource with no associated fuel costs</w:t>
      </w:r>
      <w:r w:rsidR="00206853">
        <w:t xml:space="preserve">. </w:t>
      </w:r>
      <w:r w:rsidR="008377C4">
        <w:t>On Slide 6 Charles reviewed the status of the Production Tax Credit (PTC) and the Investment Tax Credit (ITC)</w:t>
      </w:r>
      <w:r w:rsidR="00206853">
        <w:t xml:space="preserve">. </w:t>
      </w:r>
      <w:r w:rsidR="008377C4">
        <w:t>The PTC expired at the end of 2013 and has not yet been extended or renewed</w:t>
      </w:r>
      <w:r w:rsidR="00206853">
        <w:t xml:space="preserve">. </w:t>
      </w:r>
      <w:r w:rsidR="008377C4">
        <w:t xml:space="preserve">There remains uncertainty if it </w:t>
      </w:r>
      <w:proofErr w:type="gramStart"/>
      <w:r w:rsidR="008377C4">
        <w:t>will be renewed</w:t>
      </w:r>
      <w:proofErr w:type="gramEnd"/>
      <w:r w:rsidR="008377C4">
        <w:t xml:space="preserve"> again or if it will go away all together</w:t>
      </w:r>
      <w:r w:rsidR="00206853">
        <w:t xml:space="preserve">. </w:t>
      </w:r>
      <w:r w:rsidR="008377C4">
        <w:t xml:space="preserve">Charles discussed the status of the regional RPS on slide </w:t>
      </w:r>
      <w:r w:rsidR="00205005">
        <w:t>7</w:t>
      </w:r>
      <w:r w:rsidR="00E36463">
        <w:t xml:space="preserve">, noting that based on the Council’s analysis, the region appears to be compliant through about 2020 with existing committed and planned resources, planned REC procurements, and banked </w:t>
      </w:r>
      <w:proofErr w:type="spellStart"/>
      <w:r w:rsidR="00E36463">
        <w:t>RECs.</w:t>
      </w:r>
      <w:proofErr w:type="spellEnd"/>
    </w:p>
    <w:p w:rsidR="00DE0572" w:rsidRDefault="00DE0572" w:rsidP="00DE0572">
      <w:pPr>
        <w:pStyle w:val="Heading2"/>
      </w:pPr>
      <w:r>
        <w:t>Annual and Cumulative Wind Capacity in the Pacific Northwest</w:t>
      </w:r>
    </w:p>
    <w:p w:rsidR="00C07D72" w:rsidRDefault="00DE0572" w:rsidP="00DE0572">
      <w:r>
        <w:t>Charles explained the</w:t>
      </w:r>
      <w:r w:rsidR="003B66E2">
        <w:t xml:space="preserve"> wind capacity installed in the Pacific Northwest</w:t>
      </w:r>
      <w:r>
        <w:t xml:space="preserve"> graph </w:t>
      </w:r>
      <w:r w:rsidR="003B66E2">
        <w:t>o</w:t>
      </w:r>
      <w:r>
        <w:t xml:space="preserve">n </w:t>
      </w:r>
      <w:r w:rsidR="00FE5B13">
        <w:t>slide</w:t>
      </w:r>
      <w:r>
        <w:t xml:space="preserve"> 8. She said </w:t>
      </w:r>
      <w:r w:rsidR="003B66E2">
        <w:t xml:space="preserve">that after a big ramp up in development from 2005 to 2012, there has been a </w:t>
      </w:r>
      <w:r w:rsidR="00E528B7">
        <w:t>marked decline in activity since then</w:t>
      </w:r>
      <w:r w:rsidR="00755F56">
        <w:t xml:space="preserve">. </w:t>
      </w:r>
      <w:r w:rsidR="00E528B7">
        <w:t>On slide 9, Charles showed a chart of nationwide wind development, which follows a very similar trajectory and pattern as the Pacific Northwest</w:t>
      </w:r>
      <w:r w:rsidR="00206853">
        <w:t xml:space="preserve">. </w:t>
      </w:r>
      <w:r w:rsidR="00E528B7">
        <w:t xml:space="preserve">She noted that </w:t>
      </w:r>
      <w:r>
        <w:t xml:space="preserve">the years listed on </w:t>
      </w:r>
      <w:r w:rsidR="00E528B7">
        <w:t xml:space="preserve">both </w:t>
      </w:r>
      <w:r>
        <w:t>chart</w:t>
      </w:r>
      <w:r w:rsidR="00E528B7">
        <w:t>s</w:t>
      </w:r>
      <w:r>
        <w:t xml:space="preserve"> are when projects entered service</w:t>
      </w:r>
      <w:r w:rsidR="00C07D72">
        <w:t>.</w:t>
      </w:r>
    </w:p>
    <w:p w:rsidR="00DE0572" w:rsidRDefault="00DE0572" w:rsidP="00DE0572">
      <w:r>
        <w:t xml:space="preserve">Charles </w:t>
      </w:r>
      <w:r w:rsidR="00E528B7">
        <w:t xml:space="preserve">shared a breakdown of where the wind in the Pacific Northwest </w:t>
      </w:r>
      <w:proofErr w:type="gramStart"/>
      <w:r w:rsidR="00E528B7">
        <w:t xml:space="preserve">is </w:t>
      </w:r>
      <w:r w:rsidR="00C762DB">
        <w:t>contracted</w:t>
      </w:r>
      <w:proofErr w:type="gramEnd"/>
      <w:r w:rsidR="00206853">
        <w:t xml:space="preserve">. </w:t>
      </w:r>
      <w:r w:rsidR="00C762DB">
        <w:t>About 1/3 of the wind installed in the PNW is contracted to California IOUs and public utilities through long term power purchase agreements.</w:t>
      </w:r>
    </w:p>
    <w:p w:rsidR="00DE0572" w:rsidRDefault="00DE0572" w:rsidP="00DE0572">
      <w:pPr>
        <w:pStyle w:val="Heading2"/>
      </w:pPr>
      <w:r>
        <w:t>Wind Trends</w:t>
      </w:r>
    </w:p>
    <w:p w:rsidR="00C07D72" w:rsidRDefault="00DE0572" w:rsidP="00DE0572">
      <w:r>
        <w:t xml:space="preserve">Simmons discussed </w:t>
      </w:r>
      <w:r w:rsidR="00C762DB">
        <w:t xml:space="preserve">trends in wind project cost on </w:t>
      </w:r>
      <w:r w:rsidR="00FE5B13">
        <w:t>slide</w:t>
      </w:r>
      <w:r>
        <w:t xml:space="preserve"> 11</w:t>
      </w:r>
      <w:r w:rsidR="00C762DB">
        <w:t xml:space="preserve">, noting that </w:t>
      </w:r>
      <w:r w:rsidR="00BF14A2">
        <w:t xml:space="preserve">while overall capital costs have declined significantly since 1980, </w:t>
      </w:r>
      <w:r w:rsidR="00C762DB">
        <w:t>there has been an increase in capital cost from 2003-2010</w:t>
      </w:r>
      <w:r w:rsidR="00BF14A2">
        <w:t xml:space="preserve">. On slide 12, he discussed the trends in technology, most significantly the growth of rotor diameter and hub </w:t>
      </w:r>
      <w:proofErr w:type="gramStart"/>
      <w:r w:rsidR="00BF14A2">
        <w:t>height which</w:t>
      </w:r>
      <w:proofErr w:type="gramEnd"/>
      <w:r w:rsidR="00BF14A2">
        <w:t xml:space="preserve"> lead to increased capacity factors. In terms of project development, with less demand for </w:t>
      </w:r>
      <w:proofErr w:type="spellStart"/>
      <w:r w:rsidR="00BF14A2">
        <w:t>renewables</w:t>
      </w:r>
      <w:proofErr w:type="spellEnd"/>
      <w:r w:rsidR="00BF14A2">
        <w:t xml:space="preserve"> to meet near-term RPS, independent power producers are having increased difficulty building projects without power purchase agreements.</w:t>
      </w:r>
    </w:p>
    <w:p w:rsidR="00C07D72" w:rsidRDefault="00BF14A2" w:rsidP="00DE0572">
      <w:r>
        <w:t>Simmons reviewed slide 16, showing monthly regional capacity factor</w:t>
      </w:r>
      <w:r w:rsidR="003A3F29">
        <w:t xml:space="preserve"> shapes</w:t>
      </w:r>
      <w:r>
        <w:t xml:space="preserve"> </w:t>
      </w:r>
      <w:r w:rsidR="003A3F29">
        <w:t>in the BPA region and Eastern Montana juxtaposed against the expected BPA demand in 2020</w:t>
      </w:r>
      <w:r w:rsidR="00F95595">
        <w:t xml:space="preserve">. </w:t>
      </w:r>
      <w:r w:rsidR="00DE0572">
        <w:t>Nightingale commented that the capacity factors are similar in April and May in Montana and the BPA region</w:t>
      </w:r>
      <w:r w:rsidR="00C07D72">
        <w:t>.</w:t>
      </w:r>
    </w:p>
    <w:p w:rsidR="00C07D72" w:rsidRDefault="00DE0572" w:rsidP="00DE0572">
      <w:r>
        <w:t>Simmons responded that the big</w:t>
      </w:r>
      <w:r w:rsidR="00AC05A3">
        <w:t xml:space="preserve">gest difference that he sees is a larger </w:t>
      </w:r>
      <w:r>
        <w:t>divergence in the winter</w:t>
      </w:r>
      <w:r w:rsidR="003A3F29">
        <w:t>, with a much higher capacity factor in eastern Montana</w:t>
      </w:r>
      <w:r w:rsidR="00C07D72">
        <w:t>.</w:t>
      </w:r>
    </w:p>
    <w:p w:rsidR="00DE0572" w:rsidRDefault="00DE0572" w:rsidP="00DE0572">
      <w:r>
        <w:t xml:space="preserve">Tom Kaiserski with the Montana Department of Commerce stated that </w:t>
      </w:r>
      <w:proofErr w:type="gramStart"/>
      <w:r>
        <w:t>it’s</w:t>
      </w:r>
      <w:proofErr w:type="gramEnd"/>
      <w:r>
        <w:t xml:space="preserve"> good to see this presentation</w:t>
      </w:r>
      <w:r w:rsidR="007044F8">
        <w:t xml:space="preserve"> because</w:t>
      </w:r>
      <w:r>
        <w:t xml:space="preserve"> it shows that Montana’s wind complements the wind in the Columbia Gorge since it “blows at different times of the year.”</w:t>
      </w:r>
    </w:p>
    <w:p w:rsidR="00C07D72" w:rsidRDefault="00DE0572" w:rsidP="00DE0572">
      <w:r>
        <w:t>O’Brien asked if the Council looked at how the winds in the Columbia Gorge and Montana complement each other on a daily basis, such as wind at night versus the day</w:t>
      </w:r>
      <w:r w:rsidR="00337282">
        <w:t xml:space="preserve">. </w:t>
      </w:r>
      <w:r>
        <w:t>Simmons stated that they have not, but it would be interesting to determine this</w:t>
      </w:r>
      <w:r w:rsidR="00337282">
        <w:t xml:space="preserve">. </w:t>
      </w:r>
      <w:r>
        <w:t>Kaiserski commented that Montana’s winter peak is generally during the day</w:t>
      </w:r>
      <w:r w:rsidR="00337282">
        <w:t xml:space="preserve">. </w:t>
      </w:r>
      <w:proofErr w:type="spellStart"/>
      <w:r>
        <w:t>Heutte</w:t>
      </w:r>
      <w:proofErr w:type="spellEnd"/>
      <w:r>
        <w:t xml:space="preserve"> said the wind in the Northwest is evenly distributed during the day and night, but California wind</w:t>
      </w:r>
      <w:r w:rsidR="00F71358">
        <w:t>s</w:t>
      </w:r>
      <w:r>
        <w:t xml:space="preserve"> tend to peak at night</w:t>
      </w:r>
      <w:r w:rsidR="00C07D72">
        <w:t>.</w:t>
      </w:r>
    </w:p>
    <w:p w:rsidR="00F95595" w:rsidRDefault="00F95595" w:rsidP="00DE0572">
      <w:r>
        <w:t xml:space="preserve">On slide 17, Simmons showed a hypothetical 18,000 MW wind generation – one </w:t>
      </w:r>
      <w:r w:rsidR="00AC2FC7">
        <w:t>scenario with all the capacity in the BPA region, and the second scenario with 50% in region and 50% in eastern Montana</w:t>
      </w:r>
      <w:r w:rsidR="00337282">
        <w:t xml:space="preserve">. </w:t>
      </w:r>
      <w:r w:rsidR="00AC2FC7">
        <w:t>In the second scenario with a mix of in region and eastern Montana wind, the production increased in fall and winter with less production in the summer.</w:t>
      </w:r>
    </w:p>
    <w:p w:rsidR="00DE0572" w:rsidRDefault="00DE0572" w:rsidP="00DE0572">
      <w:pPr>
        <w:pStyle w:val="Heading2"/>
      </w:pPr>
      <w:r>
        <w:t>Open Questions</w:t>
      </w:r>
    </w:p>
    <w:p w:rsidR="00DE0572" w:rsidRDefault="00DE0572" w:rsidP="00DE0572">
      <w:r>
        <w:t xml:space="preserve">Simmons reviewed </w:t>
      </w:r>
      <w:r w:rsidR="00AC2FC7">
        <w:t xml:space="preserve">a few open questions for discussion on </w:t>
      </w:r>
      <w:r w:rsidR="00FE5B13">
        <w:t>slide</w:t>
      </w:r>
      <w:r>
        <w:t xml:space="preserve"> 18</w:t>
      </w:r>
      <w:r w:rsidR="00337282">
        <w:t xml:space="preserve">. </w:t>
      </w:r>
      <w:r w:rsidR="00AC2FC7">
        <w:t>One question referred to the diversity of new wind generation in the region and the other focused on the coordination of wind shaping and available transmission in the region.</w:t>
      </w:r>
    </w:p>
    <w:p w:rsidR="00DE0572" w:rsidRDefault="00DE0572" w:rsidP="00DE0572">
      <w:r>
        <w:t xml:space="preserve">In regards to how the region coordinates shaping the wind with available transmission, </w:t>
      </w:r>
      <w:proofErr w:type="spellStart"/>
      <w:r>
        <w:t>Heutte</w:t>
      </w:r>
      <w:proofErr w:type="spellEnd"/>
      <w:r>
        <w:t xml:space="preserve"> commented that th</w:t>
      </w:r>
      <w:r w:rsidR="00B367F6">
        <w:t>e topic i</w:t>
      </w:r>
      <w:r>
        <w:t xml:space="preserve">s a big subject of discussion on the transmission planning side. He said </w:t>
      </w:r>
      <w:r w:rsidR="00AC2FC7">
        <w:t xml:space="preserve">that </w:t>
      </w:r>
      <w:r>
        <w:t>they</w:t>
      </w:r>
      <w:r w:rsidR="00AC2FC7">
        <w:t xml:space="preserve"> a</w:t>
      </w:r>
      <w:r>
        <w:t xml:space="preserve">re seeing that the “geographic diversity value of not just wind, but all </w:t>
      </w:r>
      <w:proofErr w:type="spellStart"/>
      <w:r>
        <w:t>renewables</w:t>
      </w:r>
      <w:proofErr w:type="spellEnd"/>
      <w:r>
        <w:t xml:space="preserve">, is underappreciated, and now it’s finally getting some significant study.” </w:t>
      </w:r>
      <w:proofErr w:type="spellStart"/>
      <w:r>
        <w:t>Heutte</w:t>
      </w:r>
      <w:proofErr w:type="spellEnd"/>
      <w:r>
        <w:t xml:space="preserve"> said </w:t>
      </w:r>
      <w:r w:rsidR="00324DD3">
        <w:t>it</w:t>
      </w:r>
      <w:r w:rsidR="00AC2FC7">
        <w:t xml:space="preserve"> i</w:t>
      </w:r>
      <w:r w:rsidR="00324DD3">
        <w:t xml:space="preserve">s important to </w:t>
      </w:r>
      <w:r>
        <w:t xml:space="preserve">think in terms of “not necessarily peak unit potential, or highest capacity factor, but the highest value to the overall grid.” He said he thinks that </w:t>
      </w:r>
      <w:r w:rsidR="00AC2FC7">
        <w:t>this is</w:t>
      </w:r>
      <w:r>
        <w:t xml:space="preserve"> overdue in regards to looking at </w:t>
      </w:r>
      <w:r w:rsidR="00324DD3">
        <w:t>“</w:t>
      </w:r>
      <w:r>
        <w:t>the rest of the region and what it can offer,</w:t>
      </w:r>
      <w:r w:rsidR="00324DD3">
        <w:t>”</w:t>
      </w:r>
      <w:r>
        <w:t xml:space="preserve"> as well as </w:t>
      </w:r>
      <w:r w:rsidR="00324DD3">
        <w:t>considering “</w:t>
      </w:r>
      <w:r>
        <w:t>how to maximize the overall benefit, not just the highest capacity factors.</w:t>
      </w:r>
      <w:r w:rsidR="00324DD3">
        <w:t>”</w:t>
      </w:r>
      <w:r>
        <w:t xml:space="preserve"> </w:t>
      </w:r>
    </w:p>
    <w:p w:rsidR="00C07D72" w:rsidRDefault="00DE0572" w:rsidP="00DE0572">
      <w:r>
        <w:t xml:space="preserve">Nightingale, referring to the map </w:t>
      </w:r>
      <w:r w:rsidR="00AC2FC7">
        <w:t xml:space="preserve">of annual average wind speed in the United States </w:t>
      </w:r>
      <w:r>
        <w:t xml:space="preserve">on </w:t>
      </w:r>
      <w:r w:rsidR="00FE5B13">
        <w:t>slide</w:t>
      </w:r>
      <w:r>
        <w:t xml:space="preserve"> 15, said southeast and south-central Oregon </w:t>
      </w:r>
      <w:r w:rsidR="00EC7C4B">
        <w:t>has</w:t>
      </w:r>
      <w:r>
        <w:t xml:space="preserve"> a more extensive area of higher wind capacity and there are several high-voltage lines in the same areas. He said he wonders if there is capacity </w:t>
      </w:r>
      <w:r w:rsidR="00C26F82">
        <w:t xml:space="preserve">available </w:t>
      </w:r>
      <w:r>
        <w:t xml:space="preserve">in </w:t>
      </w:r>
      <w:proofErr w:type="gramStart"/>
      <w:r>
        <w:t>the lines and how the wind in southern Oregon compares to the wind in the Columbia Gorge</w:t>
      </w:r>
      <w:proofErr w:type="gramEnd"/>
      <w:r w:rsidR="00C07D72">
        <w:t>.</w:t>
      </w:r>
    </w:p>
    <w:p w:rsidR="00C07D72" w:rsidRDefault="00DE0572" w:rsidP="00DE0572">
      <w:r>
        <w:t>Simmons replied that it would be interesting to look into Nightingale’s inquiry</w:t>
      </w:r>
      <w:r w:rsidR="00C07D72">
        <w:t>.</w:t>
      </w:r>
    </w:p>
    <w:p w:rsidR="00DE0572" w:rsidRDefault="00DE0572" w:rsidP="00DE0572">
      <w:proofErr w:type="spellStart"/>
      <w:r>
        <w:t>Heutte</w:t>
      </w:r>
      <w:proofErr w:type="spellEnd"/>
      <w:r>
        <w:t xml:space="preserve"> said southeast Oregon has good wind speeds, but it</w:t>
      </w:r>
      <w:r w:rsidR="00C26F82">
        <w:t xml:space="preserve"> i</w:t>
      </w:r>
      <w:r>
        <w:t>s far from transm</w:t>
      </w:r>
      <w:r w:rsidR="0059200E">
        <w:t>ission. He stated</w:t>
      </w:r>
      <w:r>
        <w:t xml:space="preserve"> the area has big constraints, such as avian-related issues with birds li</w:t>
      </w:r>
      <w:r w:rsidR="00C26149">
        <w:t xml:space="preserve">ke the golden eagle. </w:t>
      </w:r>
      <w:proofErr w:type="spellStart"/>
      <w:r w:rsidR="00C26149">
        <w:t>Heutte</w:t>
      </w:r>
      <w:proofErr w:type="spellEnd"/>
      <w:r w:rsidR="00C26149">
        <w:t xml:space="preserve"> shared</w:t>
      </w:r>
      <w:r>
        <w:t xml:space="preserve"> that many other states in the region have similar constraints with birds of prey </w:t>
      </w:r>
      <w:r w:rsidR="004B0334">
        <w:t>and</w:t>
      </w:r>
      <w:r>
        <w:t xml:space="preserve"> protected birds, which may be why there </w:t>
      </w:r>
      <w:r w:rsidR="00C26F82">
        <w:t>has not</w:t>
      </w:r>
      <w:r>
        <w:t xml:space="preserve"> been much wind development lately.</w:t>
      </w:r>
    </w:p>
    <w:p w:rsidR="00C07D72" w:rsidRDefault="00DE0572" w:rsidP="00DE0572">
      <w:r>
        <w:t xml:space="preserve">In regards to transmission, </w:t>
      </w:r>
      <w:r w:rsidRPr="00940801">
        <w:t>Jeff Kugel</w:t>
      </w:r>
      <w:r>
        <w:t xml:space="preserve"> with</w:t>
      </w:r>
      <w:r w:rsidRPr="00940801">
        <w:t xml:space="preserve"> PNGC Power</w:t>
      </w:r>
      <w:r>
        <w:t xml:space="preserve"> stated that getting it to load </w:t>
      </w:r>
      <w:r w:rsidR="00FA4C18">
        <w:t>is</w:t>
      </w:r>
      <w:r>
        <w:t xml:space="preserve"> an issue. He said that according to PNGC, there </w:t>
      </w:r>
      <w:r w:rsidR="00D4450B">
        <w:t>would</w:t>
      </w:r>
      <w:r w:rsidR="00EC7C4B">
        <w:t xml:space="preserve"> be</w:t>
      </w:r>
      <w:r>
        <w:t xml:space="preserve"> no long-term transmission available through Bonneville, especially in the summer months, until there are new projects</w:t>
      </w:r>
      <w:r w:rsidR="00C07D72">
        <w:t>.</w:t>
      </w:r>
    </w:p>
    <w:p w:rsidR="00DE0572" w:rsidRDefault="00DE0572" w:rsidP="00DE0572">
      <w:r>
        <w:lastRenderedPageBreak/>
        <w:t xml:space="preserve">Kaiserski commented on the Colstrip line upgrade and said an estimated in-service date is 2017. He said the Montana Department of Commerce hopes the project stays on </w:t>
      </w:r>
      <w:r w:rsidR="00FB5FCC">
        <w:t>track,</w:t>
      </w:r>
      <w:r>
        <w:t xml:space="preserve"> as it will offer a 500-megawatt increase in capacity </w:t>
      </w:r>
      <w:r w:rsidR="00FB5FCC">
        <w:t>without any</w:t>
      </w:r>
      <w:r>
        <w:t xml:space="preserve"> new corridors. Kaiserski shared that his agency thinks the project “will access the diversity benefits in Montana.”</w:t>
      </w:r>
    </w:p>
    <w:p w:rsidR="00C07D72" w:rsidRDefault="00DE0572" w:rsidP="00DE0572">
      <w:r>
        <w:t xml:space="preserve">In regards to available transmission, O’Brien asked if the Council has done scenarios to determine how much transmission </w:t>
      </w:r>
      <w:proofErr w:type="gramStart"/>
      <w:r>
        <w:t>would be freed</w:t>
      </w:r>
      <w:proofErr w:type="gramEnd"/>
      <w:r>
        <w:t xml:space="preserve"> </w:t>
      </w:r>
      <w:r w:rsidR="00D10D46">
        <w:t xml:space="preserve">up </w:t>
      </w:r>
      <w:r>
        <w:t>and how much wind would be available if some parts of the Colstrip plant closed</w:t>
      </w:r>
      <w:r w:rsidR="00C07D72">
        <w:t>.</w:t>
      </w:r>
    </w:p>
    <w:p w:rsidR="00DE0572" w:rsidRDefault="00DE0572" w:rsidP="00DE0572">
      <w:r>
        <w:t xml:space="preserve">Simmons replied that </w:t>
      </w:r>
      <w:r w:rsidR="00D10D46">
        <w:t>this could be a possible scenario studied.</w:t>
      </w:r>
    </w:p>
    <w:p w:rsidR="00C07D72" w:rsidRDefault="00DE0572" w:rsidP="00DE0572">
      <w:r>
        <w:t xml:space="preserve">King stated the Council did some similar studies in the Sixth Power Plan and thinks </w:t>
      </w:r>
      <w:r w:rsidR="007A2F68">
        <w:t>the</w:t>
      </w:r>
      <w:r>
        <w:t xml:space="preserve"> upgraded information will be available in the Seventh Power Plan</w:t>
      </w:r>
      <w:r w:rsidR="00C07D72">
        <w:t>.</w:t>
      </w:r>
    </w:p>
    <w:p w:rsidR="00C07D72" w:rsidRDefault="00DE0572" w:rsidP="00DE0572">
      <w:proofErr w:type="spellStart"/>
      <w:r>
        <w:t>Heutte</w:t>
      </w:r>
      <w:proofErr w:type="spellEnd"/>
      <w:r>
        <w:t xml:space="preserve"> said Northwest Energy Coalition is not happy about what</w:t>
      </w:r>
      <w:r w:rsidR="00D10D46">
        <w:t xml:space="preserve"> i</w:t>
      </w:r>
      <w:r>
        <w:t>s happening with the Montana-to-Washington line and project, explaining that the BPA is having trouble finding the funds and right economic arrangements for it. He talked about the coordination of transmission and power planning</w:t>
      </w:r>
      <w:r w:rsidR="00021C5E">
        <w:t>,</w:t>
      </w:r>
      <w:r>
        <w:t xml:space="preserve"> and the different studies completed by various organizations and committees</w:t>
      </w:r>
      <w:r w:rsidR="00C07D72">
        <w:t>.</w:t>
      </w:r>
    </w:p>
    <w:p w:rsidR="00DE0572" w:rsidRDefault="00DE0572" w:rsidP="00DE0572">
      <w:pPr>
        <w:pStyle w:val="Heading2"/>
      </w:pPr>
      <w:r>
        <w:t xml:space="preserve">Next Steps </w:t>
      </w:r>
    </w:p>
    <w:p w:rsidR="00DE0572" w:rsidRDefault="00DE0572" w:rsidP="00DE0572">
      <w:r>
        <w:t xml:space="preserve">Simmons reviewed </w:t>
      </w:r>
      <w:r w:rsidR="00D10D46">
        <w:t xml:space="preserve">the next steps for the preliminary wind analysis on </w:t>
      </w:r>
      <w:r w:rsidR="00FE5B13">
        <w:t>slide</w:t>
      </w:r>
      <w:r>
        <w:t xml:space="preserve"> 19.</w:t>
      </w:r>
    </w:p>
    <w:p w:rsidR="00DE0572" w:rsidRDefault="00DE0572" w:rsidP="00DE0572">
      <w:r>
        <w:t>Kugel commented that it</w:t>
      </w:r>
      <w:r w:rsidR="00D10D46">
        <w:t xml:space="preserve"> i</w:t>
      </w:r>
      <w:r>
        <w:t>s important “not</w:t>
      </w:r>
      <w:r w:rsidR="008C30E2">
        <w:t xml:space="preserve"> (to) </w:t>
      </w:r>
      <w:r>
        <w:t xml:space="preserve">assume that the entire transmission capacity that the coal plant was using will now be available for wind because the utility will have to replace that </w:t>
      </w:r>
      <w:proofErr w:type="spellStart"/>
      <w:r>
        <w:t>dispatchable</w:t>
      </w:r>
      <w:proofErr w:type="spellEnd"/>
      <w:r>
        <w:t xml:space="preserve"> energy with similar </w:t>
      </w:r>
      <w:proofErr w:type="spellStart"/>
      <w:r>
        <w:t>dispatchable</w:t>
      </w:r>
      <w:proofErr w:type="spellEnd"/>
      <w:r>
        <w:t xml:space="preserve"> energy, and wind is not </w:t>
      </w:r>
      <w:proofErr w:type="spellStart"/>
      <w:r>
        <w:t>dispatchable</w:t>
      </w:r>
      <w:proofErr w:type="spellEnd"/>
      <w:r>
        <w:t xml:space="preserve">.” </w:t>
      </w:r>
    </w:p>
    <w:p w:rsidR="00C07D72" w:rsidRDefault="00DE0572" w:rsidP="00DE0572">
      <w:proofErr w:type="spellStart"/>
      <w:r>
        <w:t>Heutte</w:t>
      </w:r>
      <w:proofErr w:type="spellEnd"/>
      <w:r>
        <w:t xml:space="preserve"> stated the “Western Wind and Solar Integration Study” found that spreading geographic diversity is as much an economical consideration as it is an operational consideration, as it ultimate</w:t>
      </w:r>
      <w:r w:rsidR="00B22539">
        <w:t>ly</w:t>
      </w:r>
      <w:r>
        <w:t xml:space="preserve"> allows a reduction in balancing costs. He said this is important because it allows one to look at the full value of a resource instead of just its maximum productivity</w:t>
      </w:r>
      <w:r w:rsidR="00C07D72">
        <w:t>.</w:t>
      </w:r>
    </w:p>
    <w:p w:rsidR="00C07D72" w:rsidRDefault="00DE0572" w:rsidP="00DE0572">
      <w:r>
        <w:t xml:space="preserve">Nightingale asked how the Council plans to incorporate the study that </w:t>
      </w:r>
      <w:proofErr w:type="spellStart"/>
      <w:r>
        <w:t>Heutte</w:t>
      </w:r>
      <w:proofErr w:type="spellEnd"/>
      <w:r>
        <w:t xml:space="preserve"> mentioned into its analyses</w:t>
      </w:r>
      <w:r w:rsidR="00C07D72">
        <w:t>.</w:t>
      </w:r>
    </w:p>
    <w:p w:rsidR="00C07D72" w:rsidRDefault="00DE0572" w:rsidP="00DE0572">
      <w:r>
        <w:t xml:space="preserve">Black </w:t>
      </w:r>
      <w:r w:rsidR="00D10D46">
        <w:t>responded</w:t>
      </w:r>
      <w:r>
        <w:t xml:space="preserve"> that the Council is </w:t>
      </w:r>
      <w:r w:rsidR="008717CC">
        <w:t>using</w:t>
      </w:r>
      <w:r>
        <w:t xml:space="preserve"> three sets of analytics: the Regional Portfolio</w:t>
      </w:r>
      <w:r w:rsidR="00E24CAE">
        <w:t xml:space="preserve"> </w:t>
      </w:r>
      <w:r w:rsidR="00D10D46">
        <w:t>M</w:t>
      </w:r>
      <w:r w:rsidR="00E24CAE">
        <w:t>odel</w:t>
      </w:r>
      <w:r>
        <w:t>, three geographic nodes for the capacity and adequacy analysis, and flexibility metrics</w:t>
      </w:r>
      <w:r w:rsidR="00C07D72">
        <w:t>.</w:t>
      </w:r>
    </w:p>
    <w:p w:rsidR="00DE0572" w:rsidRDefault="00DE0572" w:rsidP="00DE0572">
      <w:r>
        <w:t>Kaiserski said he agree</w:t>
      </w:r>
      <w:r w:rsidR="006F11B4">
        <w:t>s</w:t>
      </w:r>
      <w:r>
        <w:t xml:space="preserve"> with </w:t>
      </w:r>
      <w:proofErr w:type="spellStart"/>
      <w:r>
        <w:t>Heutte’s</w:t>
      </w:r>
      <w:proofErr w:type="spellEnd"/>
      <w:r>
        <w:t xml:space="preserve"> comments regarding diversity and studying it.</w:t>
      </w:r>
    </w:p>
    <w:p w:rsidR="00DE0572" w:rsidRDefault="00DE0572" w:rsidP="00DE0572">
      <w:pPr>
        <w:pStyle w:val="Heading1"/>
      </w:pPr>
      <w:r>
        <w:t>Floating Offshore Wind Technology</w:t>
      </w:r>
    </w:p>
    <w:p w:rsidR="00DE0572" w:rsidRDefault="00DE0572" w:rsidP="00DE0572">
      <w:pPr>
        <w:pStyle w:val="Subtitle"/>
      </w:pPr>
      <w:r>
        <w:t>Presenter: Jeff King, J.C. King and Associates</w:t>
      </w:r>
    </w:p>
    <w:p w:rsidR="00DE0572" w:rsidRDefault="00DE0572" w:rsidP="00DE0572">
      <w:r>
        <w:lastRenderedPageBreak/>
        <w:t xml:space="preserve">King stated there was an expressed interest in learning more about floating offshore wind technologies in one of the first GRAC meetings. He </w:t>
      </w:r>
      <w:r w:rsidR="00670BBB">
        <w:t>shared</w:t>
      </w:r>
      <w:r>
        <w:t xml:space="preserve"> that the Department of Energy recently awarded a grant to build a small prototype in Coos Bay, Oregon, that could come in service as early as 2018.</w:t>
      </w:r>
    </w:p>
    <w:p w:rsidR="00DE0572" w:rsidRDefault="00DE0572" w:rsidP="00DE0572">
      <w:r>
        <w:t xml:space="preserve">King reviewed </w:t>
      </w:r>
      <w:r w:rsidR="00D10D46">
        <w:t xml:space="preserve">today’s discussion on </w:t>
      </w:r>
      <w:r w:rsidR="00FE5B13">
        <w:t>slide</w:t>
      </w:r>
      <w:r>
        <w:t xml:space="preserve"> 2.</w:t>
      </w:r>
    </w:p>
    <w:p w:rsidR="00DE0572" w:rsidRDefault="00DE0572" w:rsidP="00DE0572">
      <w:pPr>
        <w:pStyle w:val="Heading2"/>
      </w:pPr>
      <w:proofErr w:type="gramStart"/>
      <w:r>
        <w:t>Why the Interest in Floating Wind Plants?</w:t>
      </w:r>
      <w:proofErr w:type="gramEnd"/>
    </w:p>
    <w:p w:rsidR="00C07D72" w:rsidRDefault="00DE0572" w:rsidP="00DE0572">
      <w:r>
        <w:t xml:space="preserve">King explained the illustration in </w:t>
      </w:r>
      <w:r w:rsidR="00FE5B13">
        <w:t>slide</w:t>
      </w:r>
      <w:r>
        <w:t xml:space="preserve"> 3. </w:t>
      </w:r>
      <w:r w:rsidR="009117C3">
        <w:t>He</w:t>
      </w:r>
      <w:r>
        <w:t xml:space="preserve"> said the reasons for the interest in floating wind plants in the Northwest include the ability to develop the offshore resources of the Northwest and the quality of the wind resources available</w:t>
      </w:r>
      <w:r w:rsidR="00C07D72">
        <w:t>.</w:t>
      </w:r>
    </w:p>
    <w:p w:rsidR="00DE0572" w:rsidRPr="00455DEA" w:rsidRDefault="00DE0572" w:rsidP="00DE0572">
      <w:r>
        <w:t xml:space="preserve">King </w:t>
      </w:r>
      <w:r w:rsidR="006E1CD4">
        <w:t>discussed</w:t>
      </w:r>
      <w:r>
        <w:t xml:space="preserve"> the map on </w:t>
      </w:r>
      <w:r w:rsidR="00FE5B13">
        <w:t>slide</w:t>
      </w:r>
      <w:r>
        <w:t xml:space="preserve"> </w:t>
      </w:r>
      <w:proofErr w:type="gramStart"/>
      <w:r>
        <w:t>5</w:t>
      </w:r>
      <w:r w:rsidR="008F7667">
        <w:t xml:space="preserve"> which</w:t>
      </w:r>
      <w:proofErr w:type="gramEnd"/>
      <w:r w:rsidR="008F7667">
        <w:t xml:space="preserve"> shows both onshore and offshore wind speeds</w:t>
      </w:r>
      <w:r w:rsidR="006E1CD4">
        <w:t>.</w:t>
      </w:r>
    </w:p>
    <w:p w:rsidR="00DE0572" w:rsidRDefault="00DE0572" w:rsidP="00DE0572">
      <w:r>
        <w:t xml:space="preserve">Nightingale commented that the quality of wind along the coasts of Oregon and Washington is as good as or better the wind in eastern Montana, especially because they are “closer to load.” </w:t>
      </w:r>
    </w:p>
    <w:p w:rsidR="00DE0572" w:rsidRDefault="00DE0572" w:rsidP="00DE0572">
      <w:r>
        <w:t xml:space="preserve">King discussed </w:t>
      </w:r>
      <w:r w:rsidR="008F7667">
        <w:t xml:space="preserve">attributes of offshore wind on slide </w:t>
      </w:r>
      <w:r>
        <w:t>4</w:t>
      </w:r>
      <w:r w:rsidR="005A3E37">
        <w:t xml:space="preserve"> and </w:t>
      </w:r>
      <w:r w:rsidR="008F7667">
        <w:t xml:space="preserve">potential development issues on slide </w:t>
      </w:r>
      <w:r w:rsidR="005A3E37">
        <w:t>6</w:t>
      </w:r>
      <w:r w:rsidR="00C26919">
        <w:t>.</w:t>
      </w:r>
    </w:p>
    <w:p w:rsidR="00DE0572" w:rsidRDefault="00DE0572" w:rsidP="00DE0572">
      <w:pPr>
        <w:pStyle w:val="Heading2"/>
      </w:pPr>
      <w:r>
        <w:t>Offshore Wind Turbine Generator Founding Concepts</w:t>
      </w:r>
    </w:p>
    <w:p w:rsidR="00DE0572" w:rsidRDefault="00DE0572" w:rsidP="00DE0572">
      <w:r>
        <w:t xml:space="preserve">King explained the illustration in </w:t>
      </w:r>
      <w:r w:rsidR="00FE5B13">
        <w:t>slide</w:t>
      </w:r>
      <w:r>
        <w:t xml:space="preserve"> 7</w:t>
      </w:r>
      <w:r w:rsidR="008F7667">
        <w:t xml:space="preserve">, which shows several different offshore wind turbine generator technologies </w:t>
      </w:r>
      <w:r>
        <w:t>He said the last three platforms are concepts</w:t>
      </w:r>
      <w:r w:rsidR="008F7667">
        <w:t xml:space="preserve"> at this time</w:t>
      </w:r>
      <w:r>
        <w:t>.</w:t>
      </w:r>
    </w:p>
    <w:p w:rsidR="00C07D72" w:rsidRDefault="00DE0572" w:rsidP="00DE0572">
      <w:r>
        <w:t xml:space="preserve">In response to </w:t>
      </w:r>
      <w:proofErr w:type="spellStart"/>
      <w:r>
        <w:t>Abadi’s</w:t>
      </w:r>
      <w:proofErr w:type="spellEnd"/>
      <w:r>
        <w:t xml:space="preserve"> question, King said the stabilization components on the platforms probably would consume some power</w:t>
      </w:r>
      <w:r w:rsidR="00C07D72">
        <w:t>.</w:t>
      </w:r>
    </w:p>
    <w:p w:rsidR="00DE0572" w:rsidRDefault="00DE0572" w:rsidP="00DE0572">
      <w:pPr>
        <w:pStyle w:val="Heading2"/>
      </w:pPr>
      <w:r>
        <w:t>Notable Projects</w:t>
      </w:r>
    </w:p>
    <w:p w:rsidR="00C07D72" w:rsidRDefault="00DE0572" w:rsidP="00DE0572">
      <w:r>
        <w:t xml:space="preserve">King reviewed the table </w:t>
      </w:r>
      <w:r w:rsidR="008F7667">
        <w:t xml:space="preserve">of notable offshore wind projects (worldwide) </w:t>
      </w:r>
      <w:r>
        <w:t xml:space="preserve">on </w:t>
      </w:r>
      <w:r w:rsidR="00FE5B13">
        <w:t>slide</w:t>
      </w:r>
      <w:r>
        <w:t xml:space="preserve"> 8. He said the list of projects is not exhaustive</w:t>
      </w:r>
      <w:r w:rsidR="00C07D72">
        <w:t>.</w:t>
      </w:r>
    </w:p>
    <w:p w:rsidR="00DE0572" w:rsidRDefault="00DE0572" w:rsidP="00DE0572">
      <w:pPr>
        <w:pStyle w:val="Heading2"/>
      </w:pPr>
      <w:r>
        <w:t>Reported &amp; Projected Capital Costs</w:t>
      </w:r>
    </w:p>
    <w:p w:rsidR="00B777E8" w:rsidRDefault="00DE0572" w:rsidP="00DE0572">
      <w:r>
        <w:t xml:space="preserve">King explained the </w:t>
      </w:r>
      <w:r w:rsidR="008F7667">
        <w:t>reported and projected capital cost estimates from know projects and reports on the graph on slide 9</w:t>
      </w:r>
      <w:r w:rsidR="00B777E8">
        <w:t>.</w:t>
      </w:r>
    </w:p>
    <w:p w:rsidR="00DE0572" w:rsidRDefault="00DE0572" w:rsidP="00DE0572">
      <w:pPr>
        <w:pStyle w:val="Heading2"/>
      </w:pPr>
      <w:r>
        <w:t>Proposed 7</w:t>
      </w:r>
      <w:r w:rsidRPr="001C76A5">
        <w:rPr>
          <w:vertAlign w:val="superscript"/>
        </w:rPr>
        <w:t>th</w:t>
      </w:r>
      <w:r>
        <w:t xml:space="preserve"> Plan Treatment</w:t>
      </w:r>
    </w:p>
    <w:p w:rsidR="00DE0572" w:rsidRPr="001C76A5" w:rsidRDefault="00DE0572" w:rsidP="00DE0572">
      <w:r>
        <w:t xml:space="preserve">King reviewed </w:t>
      </w:r>
      <w:r w:rsidR="008F7667">
        <w:t xml:space="preserve">the Council’s proposed treatment of offshore wind in the Seventh Plan in </w:t>
      </w:r>
      <w:r w:rsidR="00FE5B13">
        <w:t>slide</w:t>
      </w:r>
      <w:r>
        <w:t xml:space="preserve"> 10.</w:t>
      </w:r>
    </w:p>
    <w:p w:rsidR="00DE0572" w:rsidRDefault="00DE0572" w:rsidP="00DE0572">
      <w:r>
        <w:t>Nightingale commented that some reports sa</w:t>
      </w:r>
      <w:r w:rsidR="00FB75C9">
        <w:t>y</w:t>
      </w:r>
      <w:r>
        <w:t xml:space="preserve"> t</w:t>
      </w:r>
      <w:r w:rsidR="00FB75C9">
        <w:t>he cost to deploy a platform is</w:t>
      </w:r>
      <w:r>
        <w:t xml:space="preserve"> a significant expense, </w:t>
      </w:r>
      <w:r w:rsidR="00FB75C9">
        <w:t>making</w:t>
      </w:r>
      <w:r>
        <w:t xml:space="preserve"> the operations and maintenance too expensive.</w:t>
      </w:r>
    </w:p>
    <w:p w:rsidR="00C07D72" w:rsidRDefault="00DE0572" w:rsidP="00DE0572">
      <w:proofErr w:type="spellStart"/>
      <w:r>
        <w:t>Heutte</w:t>
      </w:r>
      <w:proofErr w:type="spellEnd"/>
      <w:r>
        <w:t xml:space="preserve"> stated he agreed </w:t>
      </w:r>
      <w:r w:rsidR="00226725">
        <w:t>about</w:t>
      </w:r>
      <w:r>
        <w:t xml:space="preserve"> the cost </w:t>
      </w:r>
      <w:r w:rsidR="00226725">
        <w:t>being</w:t>
      </w:r>
      <w:r>
        <w:t xml:space="preserve"> a hurdle. He talked about some of the reports that he</w:t>
      </w:r>
      <w:r w:rsidR="008F7667">
        <w:t xml:space="preserve"> ha</w:t>
      </w:r>
      <w:r>
        <w:t>s read and the discussions he</w:t>
      </w:r>
      <w:r w:rsidR="008F7667">
        <w:t xml:space="preserve"> ha</w:t>
      </w:r>
      <w:r>
        <w:t xml:space="preserve">s had about offshore wind. </w:t>
      </w:r>
      <w:proofErr w:type="spellStart"/>
      <w:r>
        <w:t>Heutte</w:t>
      </w:r>
      <w:proofErr w:type="spellEnd"/>
      <w:r>
        <w:t xml:space="preserve"> said that in the initial stages of development, the technology </w:t>
      </w:r>
      <w:proofErr w:type="gramStart"/>
      <w:r>
        <w:t>can</w:t>
      </w:r>
      <w:proofErr w:type="gramEnd"/>
      <w:r>
        <w:t xml:space="preserve"> reuse existing transmission. He suggested the Council </w:t>
      </w:r>
      <w:r w:rsidR="00D15549">
        <w:t>invite</w:t>
      </w:r>
      <w:r>
        <w:t xml:space="preserve"> people from Japan and others who manufacture floating wind turbine generators give a presentation</w:t>
      </w:r>
      <w:r w:rsidR="00C07D72">
        <w:t>.</w:t>
      </w:r>
    </w:p>
    <w:p w:rsidR="00DE0572" w:rsidRDefault="00DE0572" w:rsidP="00DE0572">
      <w:r>
        <w:lastRenderedPageBreak/>
        <w:t xml:space="preserve">Nightingale said he </w:t>
      </w:r>
      <w:proofErr w:type="gramStart"/>
      <w:r>
        <w:t>wouldn’t</w:t>
      </w:r>
      <w:proofErr w:type="gramEnd"/>
      <w:r>
        <w:t xml:space="preserve"> assume the ocean’s wind profile is going to be like the Columbia Gorge’s because the gorge has different pressure differentials. He talked about gathering data from sources like the National Oceanic and Atmospheric Administration’s data buoys. Nightingale said he wondered if there is a cost or development curve to see if it matches the Council’s data.</w:t>
      </w:r>
    </w:p>
    <w:p w:rsidR="00DE0572" w:rsidRDefault="00DE0572" w:rsidP="00DE0572">
      <w:pPr>
        <w:pStyle w:val="Heading1"/>
      </w:pPr>
      <w:r>
        <w:t>Hydropower Potential Screening Study</w:t>
      </w:r>
    </w:p>
    <w:p w:rsidR="00DE0572" w:rsidRDefault="00DE0572" w:rsidP="00DE0572">
      <w:pPr>
        <w:pStyle w:val="Subtitle"/>
      </w:pPr>
      <w:r>
        <w:t>Presenter: Gillian Charles, Northwest Power and Conservation Council</w:t>
      </w:r>
    </w:p>
    <w:p w:rsidR="00DE0572" w:rsidRDefault="00DE0572" w:rsidP="00DE0572">
      <w:pPr>
        <w:pStyle w:val="Heading2"/>
      </w:pPr>
      <w:r>
        <w:t>Latest Hydropower Potential Study Creating a Buzz</w:t>
      </w:r>
    </w:p>
    <w:p w:rsidR="00C07D72" w:rsidRDefault="00DE0572" w:rsidP="00DE0572">
      <w:r>
        <w:t xml:space="preserve">Charles reviewed </w:t>
      </w:r>
      <w:r w:rsidR="00FE5B13">
        <w:t>slide</w:t>
      </w:r>
      <w:r>
        <w:t xml:space="preserve"> 2</w:t>
      </w:r>
      <w:r w:rsidR="008F7667">
        <w:t>, which focused on the latest Department of Energy’s new stream-reach development potential study</w:t>
      </w:r>
      <w:r w:rsidR="002D352F">
        <w:t xml:space="preserve">. She noted that the </w:t>
      </w:r>
      <w:r w:rsidR="008F7667">
        <w:t xml:space="preserve">DOE’s </w:t>
      </w:r>
      <w:r>
        <w:t>study only included the physical characteristics of streams and did not take into consideration feasibility issues arising from environmental impacts, costs or benefits</w:t>
      </w:r>
      <w:r w:rsidR="00C07D72">
        <w:t>.</w:t>
      </w:r>
    </w:p>
    <w:p w:rsidR="00C07D72" w:rsidRDefault="00C362CF" w:rsidP="00DE0572">
      <w:r>
        <w:t xml:space="preserve">O’Brien asked if the study looked at </w:t>
      </w:r>
      <w:proofErr w:type="gramStart"/>
      <w:r>
        <w:t>dams</w:t>
      </w:r>
      <w:proofErr w:type="gramEnd"/>
      <w:r>
        <w:t xml:space="preserve"> already in existence or if it related to flood control for new building developments</w:t>
      </w:r>
      <w:r w:rsidR="00C07D72">
        <w:t>.</w:t>
      </w:r>
    </w:p>
    <w:p w:rsidR="00C07D72" w:rsidRDefault="008F7667" w:rsidP="00DE0572">
      <w:r>
        <w:t>Charles responded that this particular study was for new stream reaches only, but that other studies available focus on existing dams.</w:t>
      </w:r>
    </w:p>
    <w:p w:rsidR="00C07D72" w:rsidRDefault="00DE0572" w:rsidP="00DE0572">
      <w:r>
        <w:t xml:space="preserve">Charles explained the maps on </w:t>
      </w:r>
      <w:r w:rsidR="00FE5B13">
        <w:t>slides</w:t>
      </w:r>
      <w:r>
        <w:t xml:space="preserve"> 3 and 4</w:t>
      </w:r>
      <w:r w:rsidR="008F7667">
        <w:t>, which show the national and regional potential identified by the DOE study</w:t>
      </w:r>
      <w:r w:rsidR="00C07D72">
        <w:t>.</w:t>
      </w:r>
    </w:p>
    <w:p w:rsidR="00DE0572" w:rsidRDefault="00DE0572" w:rsidP="00DE0572">
      <w:pPr>
        <w:pStyle w:val="Heading2"/>
      </w:pPr>
      <w:r>
        <w:t>Past Studies, Current Study Objectives and Preliminary Schedule</w:t>
      </w:r>
    </w:p>
    <w:p w:rsidR="00C07D72" w:rsidRDefault="00DE0572" w:rsidP="00DE0572">
      <w:r>
        <w:t xml:space="preserve">Charles discussed </w:t>
      </w:r>
      <w:r w:rsidR="00FE5B13">
        <w:t>slides</w:t>
      </w:r>
      <w:r>
        <w:t xml:space="preserve"> 5, 6 and 7. She said the Council will form a subgroup for its study, and invited the meeting’s attendees to participate if they are interested</w:t>
      </w:r>
      <w:r w:rsidR="00C07D72">
        <w:t>.</w:t>
      </w:r>
    </w:p>
    <w:p w:rsidR="00DE0572" w:rsidRDefault="00DE0572" w:rsidP="00DE0572">
      <w:r>
        <w:t>O’Brien asked if the study will look at physical potential or how much can realistically be built.</w:t>
      </w:r>
    </w:p>
    <w:p w:rsidR="00C07D72" w:rsidRDefault="00DE0572" w:rsidP="00DE0572">
      <w:r>
        <w:t>Charles replied that many of the studies only cover physical potential, so the Council will try to determine what is realistically feasible</w:t>
      </w:r>
      <w:r w:rsidR="00C07D72">
        <w:t>.</w:t>
      </w:r>
    </w:p>
    <w:p w:rsidR="00C07D72" w:rsidRDefault="00DE0572" w:rsidP="00DE0572">
      <w:r>
        <w:t>Black said the Department of Energy’s website has a Non-Powered Dam Resources Assessment and a Stream-Reach Development Resource Assessment, so he assumes the Council will consider both in its studies</w:t>
      </w:r>
      <w:r w:rsidR="00C07D72">
        <w:t>.</w:t>
      </w:r>
    </w:p>
    <w:p w:rsidR="00C07D72" w:rsidRDefault="00DE0572" w:rsidP="00DE0572">
      <w:r>
        <w:t xml:space="preserve">Black, O’Brien and </w:t>
      </w:r>
      <w:proofErr w:type="spellStart"/>
      <w:r>
        <w:t>Heutte</w:t>
      </w:r>
      <w:proofErr w:type="spellEnd"/>
      <w:r>
        <w:t xml:space="preserve"> discussed the information that the studies cover and the </w:t>
      </w:r>
      <w:proofErr w:type="gramStart"/>
      <w:r>
        <w:t>region’s</w:t>
      </w:r>
      <w:proofErr w:type="gramEnd"/>
      <w:r>
        <w:t xml:space="preserve"> protected areas</w:t>
      </w:r>
      <w:r w:rsidR="00C07D72">
        <w:t>.</w:t>
      </w:r>
    </w:p>
    <w:p w:rsidR="00C07D72" w:rsidRDefault="00DE0572" w:rsidP="00DE0572">
      <w:r>
        <w:t xml:space="preserve">Black </w:t>
      </w:r>
      <w:r w:rsidR="006F7500">
        <w:t>highlighted</w:t>
      </w:r>
      <w:r>
        <w:t xml:space="preserve"> that the Council will </w:t>
      </w:r>
      <w:proofErr w:type="gramStart"/>
      <w:r>
        <w:t>take protected areas into account</w:t>
      </w:r>
      <w:proofErr w:type="gramEnd"/>
      <w:r>
        <w:t xml:space="preserve"> for the hydropower study. He said they plan to involve the Council’s Fish and Wildlife division in the study</w:t>
      </w:r>
      <w:r w:rsidR="00C07D72">
        <w:t>.</w:t>
      </w:r>
    </w:p>
    <w:p w:rsidR="00DE0572" w:rsidRDefault="00DE0572" w:rsidP="00DE0572">
      <w:pPr>
        <w:pStyle w:val="Heading1"/>
      </w:pPr>
      <w:r>
        <w:lastRenderedPageBreak/>
        <w:t>GRAC Meeting Wrap-Up</w:t>
      </w:r>
    </w:p>
    <w:p w:rsidR="00DE0572" w:rsidRDefault="00DE0572" w:rsidP="00DE0572">
      <w:r>
        <w:t>Simmons stated the next GRAC meeting, which will take place in about three months or so, will include a follow-up on natural gas peaking technologies and wind, and may cover geothermal energy.</w:t>
      </w:r>
    </w:p>
    <w:p w:rsidR="00C07D72" w:rsidRDefault="00DE0572" w:rsidP="00DE0572">
      <w:r>
        <w:t>The GRAC meeting adjourned at 2:45 P.M</w:t>
      </w:r>
      <w:r w:rsidR="00C07D72">
        <w:t>.</w:t>
      </w:r>
    </w:p>
    <w:p w:rsidR="00DE0572" w:rsidRDefault="00DE0572" w:rsidP="00DE0572">
      <w:r>
        <w:t xml:space="preserve"> </w:t>
      </w:r>
    </w:p>
    <w:p w:rsidR="00DE0572" w:rsidRDefault="00DE0572" w:rsidP="00DE0572"/>
    <w:p w:rsidR="00DD27B9" w:rsidRDefault="00DD27B9" w:rsidP="00DE0572">
      <w:pPr>
        <w:pStyle w:val="Heading1"/>
      </w:pPr>
    </w:p>
    <w:sectPr w:rsidR="00DD27B9" w:rsidSect="004712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78" w:rsidRDefault="001F6478" w:rsidP="00784B22">
      <w:pPr>
        <w:spacing w:after="0" w:line="240" w:lineRule="auto"/>
      </w:pPr>
      <w:r>
        <w:separator/>
      </w:r>
    </w:p>
  </w:endnote>
  <w:endnote w:type="continuationSeparator" w:id="0">
    <w:p w:rsidR="001F6478" w:rsidRDefault="001F6478" w:rsidP="00784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F6478">
      <w:trPr>
        <w:trHeight w:val="151"/>
      </w:trPr>
      <w:tc>
        <w:tcPr>
          <w:tcW w:w="2250" w:type="pct"/>
          <w:tcBorders>
            <w:bottom w:val="single" w:sz="4" w:space="0" w:color="4F81BD" w:themeColor="accent1"/>
          </w:tcBorders>
        </w:tcPr>
        <w:p w:rsidR="001F6478" w:rsidRDefault="001F6478">
          <w:pPr>
            <w:pStyle w:val="Header"/>
            <w:rPr>
              <w:rFonts w:asciiTheme="majorHAnsi" w:eastAsiaTheme="majorEastAsia" w:hAnsiTheme="majorHAnsi" w:cstheme="majorBidi"/>
              <w:b/>
              <w:bCs/>
            </w:rPr>
          </w:pPr>
        </w:p>
      </w:tc>
      <w:tc>
        <w:tcPr>
          <w:tcW w:w="500" w:type="pct"/>
          <w:vMerge w:val="restart"/>
          <w:noWrap/>
          <w:vAlign w:val="center"/>
        </w:tcPr>
        <w:p w:rsidR="001F6478" w:rsidRPr="00904447" w:rsidRDefault="001F6478">
          <w:pPr>
            <w:pStyle w:val="NoSpacing"/>
            <w:rPr>
              <w:rFonts w:asciiTheme="majorHAnsi" w:hAnsiTheme="majorHAnsi"/>
            </w:rPr>
          </w:pPr>
          <w:r w:rsidRPr="00904447">
            <w:rPr>
              <w:rFonts w:asciiTheme="majorHAnsi" w:hAnsiTheme="majorHAnsi"/>
            </w:rPr>
            <w:t xml:space="preserve">Page </w:t>
          </w:r>
          <w:fldSimple w:instr=" PAGE  \* MERGEFORMAT ">
            <w:r w:rsidR="00755F56" w:rsidRPr="00755F56">
              <w:rPr>
                <w:rFonts w:asciiTheme="majorHAnsi" w:hAnsiTheme="majorHAnsi"/>
                <w:noProof/>
              </w:rPr>
              <w:t>21</w:t>
            </w:r>
          </w:fldSimple>
        </w:p>
      </w:tc>
      <w:tc>
        <w:tcPr>
          <w:tcW w:w="2250" w:type="pct"/>
          <w:tcBorders>
            <w:bottom w:val="single" w:sz="4" w:space="0" w:color="4F81BD" w:themeColor="accent1"/>
          </w:tcBorders>
        </w:tcPr>
        <w:p w:rsidR="001F6478" w:rsidRDefault="001F6478">
          <w:pPr>
            <w:pStyle w:val="Header"/>
            <w:rPr>
              <w:rFonts w:asciiTheme="majorHAnsi" w:eastAsiaTheme="majorEastAsia" w:hAnsiTheme="majorHAnsi" w:cstheme="majorBidi"/>
              <w:b/>
              <w:bCs/>
            </w:rPr>
          </w:pPr>
        </w:p>
      </w:tc>
    </w:tr>
    <w:tr w:rsidR="001F6478">
      <w:trPr>
        <w:trHeight w:val="150"/>
      </w:trPr>
      <w:tc>
        <w:tcPr>
          <w:tcW w:w="2250" w:type="pct"/>
          <w:tcBorders>
            <w:top w:val="single" w:sz="4" w:space="0" w:color="4F81BD" w:themeColor="accent1"/>
          </w:tcBorders>
        </w:tcPr>
        <w:p w:rsidR="001F6478" w:rsidRDefault="001F6478">
          <w:pPr>
            <w:pStyle w:val="Header"/>
            <w:rPr>
              <w:rFonts w:asciiTheme="majorHAnsi" w:eastAsiaTheme="majorEastAsia" w:hAnsiTheme="majorHAnsi" w:cstheme="majorBidi"/>
              <w:b/>
              <w:bCs/>
            </w:rPr>
          </w:pPr>
        </w:p>
      </w:tc>
      <w:tc>
        <w:tcPr>
          <w:tcW w:w="500" w:type="pct"/>
          <w:vMerge/>
        </w:tcPr>
        <w:p w:rsidR="001F6478" w:rsidRDefault="001F647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F6478" w:rsidRDefault="001F6478">
          <w:pPr>
            <w:pStyle w:val="Header"/>
            <w:rPr>
              <w:rFonts w:asciiTheme="majorHAnsi" w:eastAsiaTheme="majorEastAsia" w:hAnsiTheme="majorHAnsi" w:cstheme="majorBidi"/>
              <w:b/>
              <w:bCs/>
            </w:rPr>
          </w:pPr>
        </w:p>
      </w:tc>
    </w:tr>
  </w:tbl>
  <w:p w:rsidR="001F6478" w:rsidRDefault="001F6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78" w:rsidRDefault="001F6478" w:rsidP="00784B22">
      <w:pPr>
        <w:spacing w:after="0" w:line="240" w:lineRule="auto"/>
      </w:pPr>
      <w:r>
        <w:separator/>
      </w:r>
    </w:p>
  </w:footnote>
  <w:footnote w:type="continuationSeparator" w:id="0">
    <w:p w:rsidR="001F6478" w:rsidRDefault="001F6478" w:rsidP="00784B22">
      <w:pPr>
        <w:spacing w:after="0" w:line="240" w:lineRule="auto"/>
      </w:pPr>
      <w:r>
        <w:continuationSeparator/>
      </w:r>
    </w:p>
  </w:footnote>
  <w:footnote w:id="1">
    <w:p w:rsidR="001F6478" w:rsidRDefault="001F6478">
      <w:pPr>
        <w:pStyle w:val="FootnoteText"/>
      </w:pPr>
      <w:r>
        <w:rPr>
          <w:rStyle w:val="FootnoteReference"/>
        </w:rPr>
        <w:footnoteRef/>
      </w:r>
      <w:r>
        <w:t xml:space="preserve"> International Standards Organization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6"/>
        <w:szCs w:val="26"/>
      </w:rPr>
      <w:alias w:val="Title"/>
      <w:id w:val="77547040"/>
      <w:placeholder>
        <w:docPart w:val="03F5FC779DB14AE5B1C8BF696D0A39B8"/>
      </w:placeholder>
      <w:dataBinding w:prefixMappings="xmlns:ns0='http://schemas.openxmlformats.org/package/2006/metadata/core-properties' xmlns:ns1='http://purl.org/dc/elements/1.1/'" w:xpath="/ns0:coreProperties[1]/ns1:title[1]" w:storeItemID="{6C3C8BC8-F283-45AE-878A-BAB7291924A1}"/>
      <w:text/>
    </w:sdtPr>
    <w:sdtContent>
      <w:p w:rsidR="001F6478" w:rsidRPr="00904447" w:rsidRDefault="001F6478">
        <w:pPr>
          <w:pStyle w:val="Header"/>
          <w:pBdr>
            <w:between w:val="single" w:sz="4" w:space="1" w:color="4F81BD" w:themeColor="accent1"/>
          </w:pBdr>
          <w:spacing w:line="276" w:lineRule="auto"/>
          <w:jc w:val="center"/>
          <w:rPr>
            <w:rFonts w:asciiTheme="majorHAnsi" w:hAnsiTheme="majorHAnsi"/>
            <w:sz w:val="26"/>
            <w:szCs w:val="26"/>
          </w:rPr>
        </w:pPr>
        <w:r>
          <w:rPr>
            <w:rFonts w:asciiTheme="majorHAnsi" w:hAnsiTheme="majorHAnsi"/>
            <w:sz w:val="26"/>
            <w:szCs w:val="26"/>
          </w:rPr>
          <w:t>Generating Resources Advisory Committee Meeting</w:t>
        </w:r>
      </w:p>
    </w:sdtContent>
  </w:sdt>
  <w:sdt>
    <w:sdtPr>
      <w:alias w:val="Date"/>
      <w:id w:val="77547044"/>
      <w:placeholder>
        <w:docPart w:val="BD43255D525E4E4192A65F978955A1BD"/>
      </w:placeholder>
      <w:dataBinding w:prefixMappings="xmlns:ns0='http://schemas.microsoft.com/office/2006/coverPageProps'" w:xpath="/ns0:CoverPageProperties[1]/ns0:PublishDate[1]" w:storeItemID="{55AF091B-3C7A-41E3-B477-F2FDAA23CFDA}"/>
      <w:date w:fullDate="2014-05-28T00:00:00Z">
        <w:dateFormat w:val="MMMM d, yyyy"/>
        <w:lid w:val="en-US"/>
        <w:storeMappedDataAs w:val="dateTime"/>
        <w:calendar w:val="gregorian"/>
      </w:date>
    </w:sdtPr>
    <w:sdtContent>
      <w:p w:rsidR="001F6478" w:rsidRDefault="001F6478">
        <w:pPr>
          <w:pStyle w:val="Header"/>
          <w:pBdr>
            <w:between w:val="single" w:sz="4" w:space="1" w:color="4F81BD" w:themeColor="accent1"/>
          </w:pBdr>
          <w:spacing w:line="276" w:lineRule="auto"/>
          <w:jc w:val="center"/>
        </w:pPr>
        <w:r>
          <w:t>May 28, 2014</w:t>
        </w:r>
      </w:p>
    </w:sdtContent>
  </w:sdt>
  <w:p w:rsidR="001F6478" w:rsidRDefault="001F64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F04"/>
    <w:multiLevelType w:val="hybridMultilevel"/>
    <w:tmpl w:val="14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B2B70"/>
    <w:multiLevelType w:val="hybridMultilevel"/>
    <w:tmpl w:val="6ABE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140DB"/>
    <w:multiLevelType w:val="hybridMultilevel"/>
    <w:tmpl w:val="8ED0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7541B"/>
    <w:multiLevelType w:val="hybridMultilevel"/>
    <w:tmpl w:val="90D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76C"/>
    <w:multiLevelType w:val="hybridMultilevel"/>
    <w:tmpl w:val="EEB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A17D8"/>
    <w:multiLevelType w:val="hybridMultilevel"/>
    <w:tmpl w:val="DA64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8111C"/>
    <w:multiLevelType w:val="hybridMultilevel"/>
    <w:tmpl w:val="2FF2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47DF1"/>
    <w:multiLevelType w:val="hybridMultilevel"/>
    <w:tmpl w:val="D486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A0D4F"/>
    <w:multiLevelType w:val="hybridMultilevel"/>
    <w:tmpl w:val="80943B4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nsid w:val="2C2D6B97"/>
    <w:multiLevelType w:val="hybridMultilevel"/>
    <w:tmpl w:val="A67E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35275"/>
    <w:multiLevelType w:val="hybridMultilevel"/>
    <w:tmpl w:val="4D6C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1034D"/>
    <w:multiLevelType w:val="hybridMultilevel"/>
    <w:tmpl w:val="C074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D03FCD"/>
    <w:multiLevelType w:val="hybridMultilevel"/>
    <w:tmpl w:val="A330177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nsid w:val="324073D3"/>
    <w:multiLevelType w:val="hybridMultilevel"/>
    <w:tmpl w:val="5D58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86CD7"/>
    <w:multiLevelType w:val="hybridMultilevel"/>
    <w:tmpl w:val="20B2A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92A1A"/>
    <w:multiLevelType w:val="hybridMultilevel"/>
    <w:tmpl w:val="D20E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C4215"/>
    <w:multiLevelType w:val="hybridMultilevel"/>
    <w:tmpl w:val="9E9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154DA"/>
    <w:multiLevelType w:val="hybridMultilevel"/>
    <w:tmpl w:val="0508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96FAD"/>
    <w:multiLevelType w:val="hybridMultilevel"/>
    <w:tmpl w:val="129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A245C"/>
    <w:multiLevelType w:val="hybridMultilevel"/>
    <w:tmpl w:val="4982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DE5B8F"/>
    <w:multiLevelType w:val="hybridMultilevel"/>
    <w:tmpl w:val="AAD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B36AE"/>
    <w:multiLevelType w:val="hybridMultilevel"/>
    <w:tmpl w:val="01F2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841EC"/>
    <w:multiLevelType w:val="hybridMultilevel"/>
    <w:tmpl w:val="9E524E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72459"/>
    <w:multiLevelType w:val="hybridMultilevel"/>
    <w:tmpl w:val="67E2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72124"/>
    <w:multiLevelType w:val="hybridMultilevel"/>
    <w:tmpl w:val="210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D7917"/>
    <w:multiLevelType w:val="hybridMultilevel"/>
    <w:tmpl w:val="70CA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D2C24"/>
    <w:multiLevelType w:val="hybridMultilevel"/>
    <w:tmpl w:val="169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722A0B"/>
    <w:multiLevelType w:val="hybridMultilevel"/>
    <w:tmpl w:val="4190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F4842"/>
    <w:multiLevelType w:val="hybridMultilevel"/>
    <w:tmpl w:val="8F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F3EDB"/>
    <w:multiLevelType w:val="hybridMultilevel"/>
    <w:tmpl w:val="106E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E3883"/>
    <w:multiLevelType w:val="hybridMultilevel"/>
    <w:tmpl w:val="4B764C3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1">
    <w:nsid w:val="5D0F6164"/>
    <w:multiLevelType w:val="hybridMultilevel"/>
    <w:tmpl w:val="1F4C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C656B"/>
    <w:multiLevelType w:val="hybridMultilevel"/>
    <w:tmpl w:val="F72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971A5E"/>
    <w:multiLevelType w:val="hybridMultilevel"/>
    <w:tmpl w:val="6368161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nsid w:val="6B2A041D"/>
    <w:multiLevelType w:val="hybridMultilevel"/>
    <w:tmpl w:val="FF2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BB1F5A"/>
    <w:multiLevelType w:val="hybridMultilevel"/>
    <w:tmpl w:val="037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1C2E0F"/>
    <w:multiLevelType w:val="hybridMultilevel"/>
    <w:tmpl w:val="84787C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nsid w:val="79C25306"/>
    <w:multiLevelType w:val="hybridMultilevel"/>
    <w:tmpl w:val="CECE310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nsid w:val="7A4334FF"/>
    <w:multiLevelType w:val="hybridMultilevel"/>
    <w:tmpl w:val="AD7E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F765D5"/>
    <w:multiLevelType w:val="hybridMultilevel"/>
    <w:tmpl w:val="D4ECF39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0">
    <w:nsid w:val="7D0E5045"/>
    <w:multiLevelType w:val="hybridMultilevel"/>
    <w:tmpl w:val="635C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2"/>
  </w:num>
  <w:num w:numId="5">
    <w:abstractNumId w:val="24"/>
  </w:num>
  <w:num w:numId="6">
    <w:abstractNumId w:val="14"/>
  </w:num>
  <w:num w:numId="7">
    <w:abstractNumId w:val="32"/>
  </w:num>
  <w:num w:numId="8">
    <w:abstractNumId w:val="16"/>
  </w:num>
  <w:num w:numId="9">
    <w:abstractNumId w:val="39"/>
  </w:num>
  <w:num w:numId="10">
    <w:abstractNumId w:val="34"/>
  </w:num>
  <w:num w:numId="11">
    <w:abstractNumId w:val="20"/>
  </w:num>
  <w:num w:numId="12">
    <w:abstractNumId w:val="12"/>
  </w:num>
  <w:num w:numId="13">
    <w:abstractNumId w:val="28"/>
  </w:num>
  <w:num w:numId="14">
    <w:abstractNumId w:val="10"/>
  </w:num>
  <w:num w:numId="15">
    <w:abstractNumId w:val="40"/>
  </w:num>
  <w:num w:numId="16">
    <w:abstractNumId w:val="15"/>
  </w:num>
  <w:num w:numId="17">
    <w:abstractNumId w:val="36"/>
  </w:num>
  <w:num w:numId="18">
    <w:abstractNumId w:val="33"/>
  </w:num>
  <w:num w:numId="19">
    <w:abstractNumId w:val="27"/>
  </w:num>
  <w:num w:numId="20">
    <w:abstractNumId w:val="4"/>
  </w:num>
  <w:num w:numId="21">
    <w:abstractNumId w:val="11"/>
  </w:num>
  <w:num w:numId="22">
    <w:abstractNumId w:val="19"/>
  </w:num>
  <w:num w:numId="23">
    <w:abstractNumId w:val="29"/>
  </w:num>
  <w:num w:numId="24">
    <w:abstractNumId w:val="38"/>
  </w:num>
  <w:num w:numId="25">
    <w:abstractNumId w:val="1"/>
  </w:num>
  <w:num w:numId="26">
    <w:abstractNumId w:val="26"/>
  </w:num>
  <w:num w:numId="27">
    <w:abstractNumId w:val="17"/>
  </w:num>
  <w:num w:numId="28">
    <w:abstractNumId w:val="6"/>
  </w:num>
  <w:num w:numId="29">
    <w:abstractNumId w:val="9"/>
  </w:num>
  <w:num w:numId="30">
    <w:abstractNumId w:val="25"/>
  </w:num>
  <w:num w:numId="31">
    <w:abstractNumId w:val="37"/>
  </w:num>
  <w:num w:numId="32">
    <w:abstractNumId w:val="21"/>
  </w:num>
  <w:num w:numId="33">
    <w:abstractNumId w:val="30"/>
  </w:num>
  <w:num w:numId="34">
    <w:abstractNumId w:val="5"/>
  </w:num>
  <w:num w:numId="35">
    <w:abstractNumId w:val="18"/>
  </w:num>
  <w:num w:numId="36">
    <w:abstractNumId w:val="3"/>
  </w:num>
  <w:num w:numId="37">
    <w:abstractNumId w:val="8"/>
  </w:num>
  <w:num w:numId="38">
    <w:abstractNumId w:val="23"/>
  </w:num>
  <w:num w:numId="39">
    <w:abstractNumId w:val="31"/>
  </w:num>
  <w:num w:numId="40">
    <w:abstractNumId w:val="22"/>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proofState w:spelling="clean" w:grammar="clean"/>
  <w:attachedTemplate r:id="rId1"/>
  <w:defaultTabStop w:val="720"/>
  <w:characterSpacingControl w:val="doNotCompress"/>
  <w:footnotePr>
    <w:footnote w:id="-1"/>
    <w:footnote w:id="0"/>
  </w:footnotePr>
  <w:endnotePr>
    <w:endnote w:id="-1"/>
    <w:endnote w:id="0"/>
  </w:endnotePr>
  <w:compat/>
  <w:rsids>
    <w:rsidRoot w:val="00904447"/>
    <w:rsid w:val="00001713"/>
    <w:rsid w:val="000038EA"/>
    <w:rsid w:val="000045C6"/>
    <w:rsid w:val="00005A5D"/>
    <w:rsid w:val="00006BC0"/>
    <w:rsid w:val="00013424"/>
    <w:rsid w:val="00016E11"/>
    <w:rsid w:val="0002071F"/>
    <w:rsid w:val="0002083F"/>
    <w:rsid w:val="00021ADE"/>
    <w:rsid w:val="00021C5E"/>
    <w:rsid w:val="00023B4E"/>
    <w:rsid w:val="00024C1D"/>
    <w:rsid w:val="0003078D"/>
    <w:rsid w:val="00033044"/>
    <w:rsid w:val="00034296"/>
    <w:rsid w:val="00044ED2"/>
    <w:rsid w:val="00046156"/>
    <w:rsid w:val="00052954"/>
    <w:rsid w:val="00053F56"/>
    <w:rsid w:val="00055E54"/>
    <w:rsid w:val="000619D6"/>
    <w:rsid w:val="00067EBB"/>
    <w:rsid w:val="00074755"/>
    <w:rsid w:val="000803D8"/>
    <w:rsid w:val="00082356"/>
    <w:rsid w:val="000824CD"/>
    <w:rsid w:val="00082DCE"/>
    <w:rsid w:val="000907C5"/>
    <w:rsid w:val="00092689"/>
    <w:rsid w:val="00094F1E"/>
    <w:rsid w:val="000A154D"/>
    <w:rsid w:val="000A35AF"/>
    <w:rsid w:val="000A65AD"/>
    <w:rsid w:val="000B1E3A"/>
    <w:rsid w:val="000B3A6F"/>
    <w:rsid w:val="000B59C3"/>
    <w:rsid w:val="000B5C67"/>
    <w:rsid w:val="000C5F69"/>
    <w:rsid w:val="000D3970"/>
    <w:rsid w:val="000D7324"/>
    <w:rsid w:val="000D76C9"/>
    <w:rsid w:val="000E0F61"/>
    <w:rsid w:val="000E22FB"/>
    <w:rsid w:val="000E4A79"/>
    <w:rsid w:val="000E7A5D"/>
    <w:rsid w:val="000F03FE"/>
    <w:rsid w:val="000F12E8"/>
    <w:rsid w:val="000F2EF6"/>
    <w:rsid w:val="000F69B0"/>
    <w:rsid w:val="000F7001"/>
    <w:rsid w:val="000F782F"/>
    <w:rsid w:val="0010001A"/>
    <w:rsid w:val="001045C9"/>
    <w:rsid w:val="00105D86"/>
    <w:rsid w:val="00106388"/>
    <w:rsid w:val="00107E4F"/>
    <w:rsid w:val="0011433B"/>
    <w:rsid w:val="00117459"/>
    <w:rsid w:val="00117757"/>
    <w:rsid w:val="00120343"/>
    <w:rsid w:val="00120C45"/>
    <w:rsid w:val="00120F14"/>
    <w:rsid w:val="00122C1B"/>
    <w:rsid w:val="00124344"/>
    <w:rsid w:val="0012551E"/>
    <w:rsid w:val="001262D4"/>
    <w:rsid w:val="00126991"/>
    <w:rsid w:val="00131705"/>
    <w:rsid w:val="001339A4"/>
    <w:rsid w:val="00140084"/>
    <w:rsid w:val="00143EC9"/>
    <w:rsid w:val="00143F7D"/>
    <w:rsid w:val="00145D86"/>
    <w:rsid w:val="00150BAE"/>
    <w:rsid w:val="00152749"/>
    <w:rsid w:val="0015355E"/>
    <w:rsid w:val="00153F07"/>
    <w:rsid w:val="00154358"/>
    <w:rsid w:val="001554C6"/>
    <w:rsid w:val="001639D0"/>
    <w:rsid w:val="00164F5C"/>
    <w:rsid w:val="0016773E"/>
    <w:rsid w:val="00167CCA"/>
    <w:rsid w:val="00171B50"/>
    <w:rsid w:val="00173782"/>
    <w:rsid w:val="00182C21"/>
    <w:rsid w:val="00190791"/>
    <w:rsid w:val="00190913"/>
    <w:rsid w:val="0019475C"/>
    <w:rsid w:val="00194C71"/>
    <w:rsid w:val="001A2E3F"/>
    <w:rsid w:val="001A6207"/>
    <w:rsid w:val="001B0175"/>
    <w:rsid w:val="001B1959"/>
    <w:rsid w:val="001B4D52"/>
    <w:rsid w:val="001B574D"/>
    <w:rsid w:val="001C4C94"/>
    <w:rsid w:val="001C4F2B"/>
    <w:rsid w:val="001C50B2"/>
    <w:rsid w:val="001C6936"/>
    <w:rsid w:val="001C6A3E"/>
    <w:rsid w:val="001C79FD"/>
    <w:rsid w:val="001C7EF6"/>
    <w:rsid w:val="001D0E98"/>
    <w:rsid w:val="001D1A96"/>
    <w:rsid w:val="001D24F0"/>
    <w:rsid w:val="001D2A1C"/>
    <w:rsid w:val="001E13EB"/>
    <w:rsid w:val="001E3482"/>
    <w:rsid w:val="001E445C"/>
    <w:rsid w:val="001E63D9"/>
    <w:rsid w:val="001E70F7"/>
    <w:rsid w:val="001F4E1B"/>
    <w:rsid w:val="001F6478"/>
    <w:rsid w:val="001F7C05"/>
    <w:rsid w:val="00205005"/>
    <w:rsid w:val="00206853"/>
    <w:rsid w:val="00207C99"/>
    <w:rsid w:val="00211B7E"/>
    <w:rsid w:val="00212F66"/>
    <w:rsid w:val="00213296"/>
    <w:rsid w:val="0021340C"/>
    <w:rsid w:val="00215DFB"/>
    <w:rsid w:val="00216A57"/>
    <w:rsid w:val="00220D8F"/>
    <w:rsid w:val="00222BEF"/>
    <w:rsid w:val="00224C60"/>
    <w:rsid w:val="00226725"/>
    <w:rsid w:val="002273B0"/>
    <w:rsid w:val="0023022F"/>
    <w:rsid w:val="00231BB4"/>
    <w:rsid w:val="0024238A"/>
    <w:rsid w:val="00251514"/>
    <w:rsid w:val="00253028"/>
    <w:rsid w:val="0025316F"/>
    <w:rsid w:val="002541D4"/>
    <w:rsid w:val="00254B13"/>
    <w:rsid w:val="00256605"/>
    <w:rsid w:val="00260435"/>
    <w:rsid w:val="002606DF"/>
    <w:rsid w:val="0026080D"/>
    <w:rsid w:val="002608BB"/>
    <w:rsid w:val="00265455"/>
    <w:rsid w:val="00270D49"/>
    <w:rsid w:val="00276AD8"/>
    <w:rsid w:val="00277BAA"/>
    <w:rsid w:val="002818C6"/>
    <w:rsid w:val="00281A40"/>
    <w:rsid w:val="00281C3C"/>
    <w:rsid w:val="002836D9"/>
    <w:rsid w:val="002917ED"/>
    <w:rsid w:val="002A23CA"/>
    <w:rsid w:val="002A24AB"/>
    <w:rsid w:val="002A45FD"/>
    <w:rsid w:val="002B0FCB"/>
    <w:rsid w:val="002B3972"/>
    <w:rsid w:val="002B5D23"/>
    <w:rsid w:val="002B648F"/>
    <w:rsid w:val="002C0C02"/>
    <w:rsid w:val="002C4296"/>
    <w:rsid w:val="002C4E32"/>
    <w:rsid w:val="002D2EA4"/>
    <w:rsid w:val="002D352F"/>
    <w:rsid w:val="002D4443"/>
    <w:rsid w:val="002D6D35"/>
    <w:rsid w:val="002E2108"/>
    <w:rsid w:val="002E34F8"/>
    <w:rsid w:val="002E6DB1"/>
    <w:rsid w:val="002F1AC5"/>
    <w:rsid w:val="002F77CF"/>
    <w:rsid w:val="002F7C84"/>
    <w:rsid w:val="00300DB0"/>
    <w:rsid w:val="00300E6F"/>
    <w:rsid w:val="00305BCF"/>
    <w:rsid w:val="00307399"/>
    <w:rsid w:val="0031030B"/>
    <w:rsid w:val="00310312"/>
    <w:rsid w:val="003108E4"/>
    <w:rsid w:val="00312EAF"/>
    <w:rsid w:val="00314868"/>
    <w:rsid w:val="0031577F"/>
    <w:rsid w:val="00317828"/>
    <w:rsid w:val="0031796F"/>
    <w:rsid w:val="00320CAC"/>
    <w:rsid w:val="00321407"/>
    <w:rsid w:val="00322579"/>
    <w:rsid w:val="00322EE2"/>
    <w:rsid w:val="00323354"/>
    <w:rsid w:val="00323FE6"/>
    <w:rsid w:val="00324DD3"/>
    <w:rsid w:val="0032511F"/>
    <w:rsid w:val="00325A08"/>
    <w:rsid w:val="00327DF6"/>
    <w:rsid w:val="00333CA0"/>
    <w:rsid w:val="00333E79"/>
    <w:rsid w:val="00337282"/>
    <w:rsid w:val="003417C5"/>
    <w:rsid w:val="0034712C"/>
    <w:rsid w:val="003504BC"/>
    <w:rsid w:val="00351C3F"/>
    <w:rsid w:val="003537E3"/>
    <w:rsid w:val="00361022"/>
    <w:rsid w:val="003648E7"/>
    <w:rsid w:val="00370407"/>
    <w:rsid w:val="00370E27"/>
    <w:rsid w:val="00372392"/>
    <w:rsid w:val="00373DB4"/>
    <w:rsid w:val="00376591"/>
    <w:rsid w:val="00376E93"/>
    <w:rsid w:val="0037785F"/>
    <w:rsid w:val="00377CE3"/>
    <w:rsid w:val="003808EB"/>
    <w:rsid w:val="00385F92"/>
    <w:rsid w:val="00386F0D"/>
    <w:rsid w:val="00391474"/>
    <w:rsid w:val="00391691"/>
    <w:rsid w:val="003A095B"/>
    <w:rsid w:val="003A3F29"/>
    <w:rsid w:val="003A4BFA"/>
    <w:rsid w:val="003A54E7"/>
    <w:rsid w:val="003A6449"/>
    <w:rsid w:val="003B41AB"/>
    <w:rsid w:val="003B6465"/>
    <w:rsid w:val="003B66E2"/>
    <w:rsid w:val="003C019A"/>
    <w:rsid w:val="003C0935"/>
    <w:rsid w:val="003C1665"/>
    <w:rsid w:val="003C5490"/>
    <w:rsid w:val="003C772F"/>
    <w:rsid w:val="003D316C"/>
    <w:rsid w:val="003D35DE"/>
    <w:rsid w:val="003D3F98"/>
    <w:rsid w:val="003D4B7A"/>
    <w:rsid w:val="003D50FB"/>
    <w:rsid w:val="003D6410"/>
    <w:rsid w:val="003E1F02"/>
    <w:rsid w:val="003E3F83"/>
    <w:rsid w:val="003E4CC9"/>
    <w:rsid w:val="003F0B48"/>
    <w:rsid w:val="003F2791"/>
    <w:rsid w:val="003F39B5"/>
    <w:rsid w:val="003F5DA7"/>
    <w:rsid w:val="00402C7E"/>
    <w:rsid w:val="00403389"/>
    <w:rsid w:val="00403D57"/>
    <w:rsid w:val="0041108F"/>
    <w:rsid w:val="004125C4"/>
    <w:rsid w:val="00414DC3"/>
    <w:rsid w:val="004168BE"/>
    <w:rsid w:val="004204D9"/>
    <w:rsid w:val="00425089"/>
    <w:rsid w:val="00426808"/>
    <w:rsid w:val="00427E98"/>
    <w:rsid w:val="004313FC"/>
    <w:rsid w:val="004315EA"/>
    <w:rsid w:val="00437689"/>
    <w:rsid w:val="0043776D"/>
    <w:rsid w:val="004462FA"/>
    <w:rsid w:val="00446637"/>
    <w:rsid w:val="00446FBE"/>
    <w:rsid w:val="0045048A"/>
    <w:rsid w:val="00451E4D"/>
    <w:rsid w:val="00454DE2"/>
    <w:rsid w:val="00455F8A"/>
    <w:rsid w:val="004578C8"/>
    <w:rsid w:val="0046445E"/>
    <w:rsid w:val="00464A3D"/>
    <w:rsid w:val="00464FBF"/>
    <w:rsid w:val="00466217"/>
    <w:rsid w:val="00466E02"/>
    <w:rsid w:val="00471285"/>
    <w:rsid w:val="00472F51"/>
    <w:rsid w:val="004777E3"/>
    <w:rsid w:val="0048430E"/>
    <w:rsid w:val="00484839"/>
    <w:rsid w:val="0049325F"/>
    <w:rsid w:val="0049537E"/>
    <w:rsid w:val="004A2C1A"/>
    <w:rsid w:val="004A3071"/>
    <w:rsid w:val="004A3514"/>
    <w:rsid w:val="004B0334"/>
    <w:rsid w:val="004B1706"/>
    <w:rsid w:val="004B3A0B"/>
    <w:rsid w:val="004B4748"/>
    <w:rsid w:val="004B68A2"/>
    <w:rsid w:val="004C275A"/>
    <w:rsid w:val="004C2F62"/>
    <w:rsid w:val="004C3F2E"/>
    <w:rsid w:val="004D1377"/>
    <w:rsid w:val="004D468C"/>
    <w:rsid w:val="004D6D0B"/>
    <w:rsid w:val="004E0C9D"/>
    <w:rsid w:val="004E6C8B"/>
    <w:rsid w:val="004F2E2A"/>
    <w:rsid w:val="004F40B3"/>
    <w:rsid w:val="004F4A07"/>
    <w:rsid w:val="004F5CC0"/>
    <w:rsid w:val="004F6F78"/>
    <w:rsid w:val="004F7014"/>
    <w:rsid w:val="005003AC"/>
    <w:rsid w:val="0050109F"/>
    <w:rsid w:val="005042F8"/>
    <w:rsid w:val="00506AD7"/>
    <w:rsid w:val="00507378"/>
    <w:rsid w:val="0051549C"/>
    <w:rsid w:val="0052460A"/>
    <w:rsid w:val="00527D2A"/>
    <w:rsid w:val="00531BEB"/>
    <w:rsid w:val="00531CE5"/>
    <w:rsid w:val="00532D2D"/>
    <w:rsid w:val="00533D12"/>
    <w:rsid w:val="00533FCC"/>
    <w:rsid w:val="0053460C"/>
    <w:rsid w:val="00535010"/>
    <w:rsid w:val="005375E8"/>
    <w:rsid w:val="00540F6E"/>
    <w:rsid w:val="0054265E"/>
    <w:rsid w:val="005449A2"/>
    <w:rsid w:val="00544E2E"/>
    <w:rsid w:val="00544E5D"/>
    <w:rsid w:val="00546E26"/>
    <w:rsid w:val="00546FFF"/>
    <w:rsid w:val="00550DBD"/>
    <w:rsid w:val="00552AB9"/>
    <w:rsid w:val="00553813"/>
    <w:rsid w:val="0056390E"/>
    <w:rsid w:val="00564E58"/>
    <w:rsid w:val="00565293"/>
    <w:rsid w:val="00567674"/>
    <w:rsid w:val="00567D99"/>
    <w:rsid w:val="005740A0"/>
    <w:rsid w:val="00574410"/>
    <w:rsid w:val="00580EDD"/>
    <w:rsid w:val="00582C09"/>
    <w:rsid w:val="00590C27"/>
    <w:rsid w:val="00591ECE"/>
    <w:rsid w:val="0059200E"/>
    <w:rsid w:val="00593529"/>
    <w:rsid w:val="005A3E37"/>
    <w:rsid w:val="005A6D6B"/>
    <w:rsid w:val="005A6DBF"/>
    <w:rsid w:val="005B121A"/>
    <w:rsid w:val="005B21A3"/>
    <w:rsid w:val="005B33C9"/>
    <w:rsid w:val="005B3E9A"/>
    <w:rsid w:val="005B3F45"/>
    <w:rsid w:val="005B4508"/>
    <w:rsid w:val="005B5E74"/>
    <w:rsid w:val="005B7C81"/>
    <w:rsid w:val="005C12D0"/>
    <w:rsid w:val="005C2482"/>
    <w:rsid w:val="005D5603"/>
    <w:rsid w:val="005D67BC"/>
    <w:rsid w:val="005E1DBF"/>
    <w:rsid w:val="005E2E4D"/>
    <w:rsid w:val="005E6D36"/>
    <w:rsid w:val="005F149E"/>
    <w:rsid w:val="005F2357"/>
    <w:rsid w:val="005F401F"/>
    <w:rsid w:val="005F505A"/>
    <w:rsid w:val="00600653"/>
    <w:rsid w:val="006029C9"/>
    <w:rsid w:val="00604C9E"/>
    <w:rsid w:val="00611E45"/>
    <w:rsid w:val="00613D2E"/>
    <w:rsid w:val="00620ACF"/>
    <w:rsid w:val="00621628"/>
    <w:rsid w:val="00623C96"/>
    <w:rsid w:val="00624DEE"/>
    <w:rsid w:val="006252A0"/>
    <w:rsid w:val="0063123D"/>
    <w:rsid w:val="00633B56"/>
    <w:rsid w:val="00640E07"/>
    <w:rsid w:val="0064391C"/>
    <w:rsid w:val="006441FB"/>
    <w:rsid w:val="0064468B"/>
    <w:rsid w:val="0064682F"/>
    <w:rsid w:val="00646A66"/>
    <w:rsid w:val="006514FA"/>
    <w:rsid w:val="00654356"/>
    <w:rsid w:val="00656EFD"/>
    <w:rsid w:val="00667284"/>
    <w:rsid w:val="00667487"/>
    <w:rsid w:val="00670AAB"/>
    <w:rsid w:val="00670BBB"/>
    <w:rsid w:val="00672121"/>
    <w:rsid w:val="00672BBC"/>
    <w:rsid w:val="006742FD"/>
    <w:rsid w:val="00674AD7"/>
    <w:rsid w:val="006752AC"/>
    <w:rsid w:val="00676349"/>
    <w:rsid w:val="00680BE1"/>
    <w:rsid w:val="00684F8A"/>
    <w:rsid w:val="00692A8B"/>
    <w:rsid w:val="006945D0"/>
    <w:rsid w:val="00696237"/>
    <w:rsid w:val="00696A1D"/>
    <w:rsid w:val="006A1B42"/>
    <w:rsid w:val="006A7420"/>
    <w:rsid w:val="006B302E"/>
    <w:rsid w:val="006B37C8"/>
    <w:rsid w:val="006B47D5"/>
    <w:rsid w:val="006B7A3C"/>
    <w:rsid w:val="006C217B"/>
    <w:rsid w:val="006C25A3"/>
    <w:rsid w:val="006C3337"/>
    <w:rsid w:val="006C70CA"/>
    <w:rsid w:val="006E1CD4"/>
    <w:rsid w:val="006F11B4"/>
    <w:rsid w:val="006F27E0"/>
    <w:rsid w:val="006F3DED"/>
    <w:rsid w:val="006F570B"/>
    <w:rsid w:val="006F7500"/>
    <w:rsid w:val="00700BB8"/>
    <w:rsid w:val="007044F8"/>
    <w:rsid w:val="0070709B"/>
    <w:rsid w:val="00707176"/>
    <w:rsid w:val="0071243D"/>
    <w:rsid w:val="0071407C"/>
    <w:rsid w:val="00716007"/>
    <w:rsid w:val="00720643"/>
    <w:rsid w:val="007242CD"/>
    <w:rsid w:val="007275E7"/>
    <w:rsid w:val="00731341"/>
    <w:rsid w:val="00733755"/>
    <w:rsid w:val="0074116A"/>
    <w:rsid w:val="00741595"/>
    <w:rsid w:val="00742385"/>
    <w:rsid w:val="00743BB8"/>
    <w:rsid w:val="00744914"/>
    <w:rsid w:val="007476C0"/>
    <w:rsid w:val="00750454"/>
    <w:rsid w:val="00754A53"/>
    <w:rsid w:val="00755BCC"/>
    <w:rsid w:val="00755DD4"/>
    <w:rsid w:val="00755F56"/>
    <w:rsid w:val="0075604C"/>
    <w:rsid w:val="00760E04"/>
    <w:rsid w:val="00762FC5"/>
    <w:rsid w:val="0076384F"/>
    <w:rsid w:val="007673B9"/>
    <w:rsid w:val="007717E7"/>
    <w:rsid w:val="0078339C"/>
    <w:rsid w:val="00784B22"/>
    <w:rsid w:val="00784E76"/>
    <w:rsid w:val="00785DCF"/>
    <w:rsid w:val="007970A5"/>
    <w:rsid w:val="007A2F68"/>
    <w:rsid w:val="007A42DF"/>
    <w:rsid w:val="007B17B2"/>
    <w:rsid w:val="007C0980"/>
    <w:rsid w:val="007C1259"/>
    <w:rsid w:val="007C1987"/>
    <w:rsid w:val="007C565F"/>
    <w:rsid w:val="007C578E"/>
    <w:rsid w:val="007C642B"/>
    <w:rsid w:val="007C6BA8"/>
    <w:rsid w:val="007D439E"/>
    <w:rsid w:val="007D58A0"/>
    <w:rsid w:val="007D7F25"/>
    <w:rsid w:val="007E1E4E"/>
    <w:rsid w:val="007E31EA"/>
    <w:rsid w:val="007E37DA"/>
    <w:rsid w:val="007E46A3"/>
    <w:rsid w:val="007F01F6"/>
    <w:rsid w:val="007F24B9"/>
    <w:rsid w:val="007F330B"/>
    <w:rsid w:val="007F4143"/>
    <w:rsid w:val="007F4AD4"/>
    <w:rsid w:val="007F592B"/>
    <w:rsid w:val="007F635D"/>
    <w:rsid w:val="0081329C"/>
    <w:rsid w:val="008167EE"/>
    <w:rsid w:val="00816851"/>
    <w:rsid w:val="00822F57"/>
    <w:rsid w:val="0082786F"/>
    <w:rsid w:val="00834C39"/>
    <w:rsid w:val="0083560C"/>
    <w:rsid w:val="008377C4"/>
    <w:rsid w:val="00843065"/>
    <w:rsid w:val="008462C7"/>
    <w:rsid w:val="00851834"/>
    <w:rsid w:val="00853AA2"/>
    <w:rsid w:val="008564D1"/>
    <w:rsid w:val="008572CD"/>
    <w:rsid w:val="008578E6"/>
    <w:rsid w:val="00860B86"/>
    <w:rsid w:val="008621E2"/>
    <w:rsid w:val="008656C0"/>
    <w:rsid w:val="0087133E"/>
    <w:rsid w:val="008717CC"/>
    <w:rsid w:val="00874BB8"/>
    <w:rsid w:val="0087503E"/>
    <w:rsid w:val="00875F05"/>
    <w:rsid w:val="0088389F"/>
    <w:rsid w:val="00892BE6"/>
    <w:rsid w:val="008949BC"/>
    <w:rsid w:val="008A6AFA"/>
    <w:rsid w:val="008A6CF0"/>
    <w:rsid w:val="008A718E"/>
    <w:rsid w:val="008B153D"/>
    <w:rsid w:val="008B1B84"/>
    <w:rsid w:val="008B6DA4"/>
    <w:rsid w:val="008C12DC"/>
    <w:rsid w:val="008C30E2"/>
    <w:rsid w:val="008D0FA3"/>
    <w:rsid w:val="008D4CEF"/>
    <w:rsid w:val="008D7782"/>
    <w:rsid w:val="008E08B5"/>
    <w:rsid w:val="008E0F2D"/>
    <w:rsid w:val="008E448D"/>
    <w:rsid w:val="008F3947"/>
    <w:rsid w:val="008F7667"/>
    <w:rsid w:val="00904447"/>
    <w:rsid w:val="00907911"/>
    <w:rsid w:val="009117C3"/>
    <w:rsid w:val="00912C06"/>
    <w:rsid w:val="009131F3"/>
    <w:rsid w:val="00927654"/>
    <w:rsid w:val="009312A9"/>
    <w:rsid w:val="00940801"/>
    <w:rsid w:val="00940E61"/>
    <w:rsid w:val="00943B88"/>
    <w:rsid w:val="00950387"/>
    <w:rsid w:val="00955439"/>
    <w:rsid w:val="009554A8"/>
    <w:rsid w:val="0096149A"/>
    <w:rsid w:val="00963BCD"/>
    <w:rsid w:val="009648CF"/>
    <w:rsid w:val="0096517F"/>
    <w:rsid w:val="00967D1F"/>
    <w:rsid w:val="00977C5C"/>
    <w:rsid w:val="00985A42"/>
    <w:rsid w:val="0099071C"/>
    <w:rsid w:val="00991E4E"/>
    <w:rsid w:val="00992E2D"/>
    <w:rsid w:val="00993171"/>
    <w:rsid w:val="00995B40"/>
    <w:rsid w:val="009B0B04"/>
    <w:rsid w:val="009B4254"/>
    <w:rsid w:val="009B6EE2"/>
    <w:rsid w:val="009B7525"/>
    <w:rsid w:val="009C357F"/>
    <w:rsid w:val="009C391A"/>
    <w:rsid w:val="009C6C29"/>
    <w:rsid w:val="009D1A35"/>
    <w:rsid w:val="009D435F"/>
    <w:rsid w:val="009D48FA"/>
    <w:rsid w:val="009D61B7"/>
    <w:rsid w:val="009E61F8"/>
    <w:rsid w:val="009E7771"/>
    <w:rsid w:val="009F111D"/>
    <w:rsid w:val="009F3B9F"/>
    <w:rsid w:val="009F768E"/>
    <w:rsid w:val="00A03F39"/>
    <w:rsid w:val="00A213D5"/>
    <w:rsid w:val="00A24B00"/>
    <w:rsid w:val="00A2522B"/>
    <w:rsid w:val="00A25869"/>
    <w:rsid w:val="00A25C47"/>
    <w:rsid w:val="00A30AF6"/>
    <w:rsid w:val="00A3284E"/>
    <w:rsid w:val="00A344F3"/>
    <w:rsid w:val="00A40A7B"/>
    <w:rsid w:val="00A433FC"/>
    <w:rsid w:val="00A44F1E"/>
    <w:rsid w:val="00A473A8"/>
    <w:rsid w:val="00A524CA"/>
    <w:rsid w:val="00A53837"/>
    <w:rsid w:val="00A53C43"/>
    <w:rsid w:val="00A6248F"/>
    <w:rsid w:val="00A65A64"/>
    <w:rsid w:val="00A65B32"/>
    <w:rsid w:val="00A679E8"/>
    <w:rsid w:val="00A70E32"/>
    <w:rsid w:val="00A71130"/>
    <w:rsid w:val="00A756BB"/>
    <w:rsid w:val="00A760B9"/>
    <w:rsid w:val="00A761FE"/>
    <w:rsid w:val="00A77E1E"/>
    <w:rsid w:val="00A827E6"/>
    <w:rsid w:val="00A83BC5"/>
    <w:rsid w:val="00A84289"/>
    <w:rsid w:val="00A85FA2"/>
    <w:rsid w:val="00A91C3E"/>
    <w:rsid w:val="00A94D39"/>
    <w:rsid w:val="00A971CE"/>
    <w:rsid w:val="00AA38DC"/>
    <w:rsid w:val="00AC05A3"/>
    <w:rsid w:val="00AC1455"/>
    <w:rsid w:val="00AC2FC7"/>
    <w:rsid w:val="00AD0CBA"/>
    <w:rsid w:val="00AD1940"/>
    <w:rsid w:val="00AD3ECB"/>
    <w:rsid w:val="00AD41F9"/>
    <w:rsid w:val="00AE09FD"/>
    <w:rsid w:val="00AF1568"/>
    <w:rsid w:val="00AF292C"/>
    <w:rsid w:val="00AF5EAE"/>
    <w:rsid w:val="00B01D5D"/>
    <w:rsid w:val="00B02AE1"/>
    <w:rsid w:val="00B06261"/>
    <w:rsid w:val="00B12D70"/>
    <w:rsid w:val="00B131AD"/>
    <w:rsid w:val="00B151CC"/>
    <w:rsid w:val="00B22539"/>
    <w:rsid w:val="00B26546"/>
    <w:rsid w:val="00B34D12"/>
    <w:rsid w:val="00B367F6"/>
    <w:rsid w:val="00B607C8"/>
    <w:rsid w:val="00B63985"/>
    <w:rsid w:val="00B66DFF"/>
    <w:rsid w:val="00B67EBD"/>
    <w:rsid w:val="00B70FAE"/>
    <w:rsid w:val="00B74E69"/>
    <w:rsid w:val="00B76E7C"/>
    <w:rsid w:val="00B771E9"/>
    <w:rsid w:val="00B777E8"/>
    <w:rsid w:val="00B8499C"/>
    <w:rsid w:val="00B87362"/>
    <w:rsid w:val="00B92681"/>
    <w:rsid w:val="00B95885"/>
    <w:rsid w:val="00B95BFE"/>
    <w:rsid w:val="00BA1BCE"/>
    <w:rsid w:val="00BA5DD7"/>
    <w:rsid w:val="00BB084F"/>
    <w:rsid w:val="00BB3697"/>
    <w:rsid w:val="00BC4024"/>
    <w:rsid w:val="00BC41E8"/>
    <w:rsid w:val="00BC6A8B"/>
    <w:rsid w:val="00BC78C2"/>
    <w:rsid w:val="00BD133C"/>
    <w:rsid w:val="00BD4378"/>
    <w:rsid w:val="00BE6E24"/>
    <w:rsid w:val="00BE71C9"/>
    <w:rsid w:val="00BF14A2"/>
    <w:rsid w:val="00BF342C"/>
    <w:rsid w:val="00BF6F06"/>
    <w:rsid w:val="00BF723D"/>
    <w:rsid w:val="00BF74BD"/>
    <w:rsid w:val="00C055BB"/>
    <w:rsid w:val="00C05FCD"/>
    <w:rsid w:val="00C07D72"/>
    <w:rsid w:val="00C10605"/>
    <w:rsid w:val="00C12F89"/>
    <w:rsid w:val="00C20230"/>
    <w:rsid w:val="00C25115"/>
    <w:rsid w:val="00C25990"/>
    <w:rsid w:val="00C26149"/>
    <w:rsid w:val="00C26919"/>
    <w:rsid w:val="00C26F82"/>
    <w:rsid w:val="00C32AFF"/>
    <w:rsid w:val="00C34A34"/>
    <w:rsid w:val="00C362CF"/>
    <w:rsid w:val="00C368CD"/>
    <w:rsid w:val="00C37CD7"/>
    <w:rsid w:val="00C402EC"/>
    <w:rsid w:val="00C44F0F"/>
    <w:rsid w:val="00C45319"/>
    <w:rsid w:val="00C5052D"/>
    <w:rsid w:val="00C541FE"/>
    <w:rsid w:val="00C54408"/>
    <w:rsid w:val="00C5656B"/>
    <w:rsid w:val="00C57382"/>
    <w:rsid w:val="00C66601"/>
    <w:rsid w:val="00C67C6A"/>
    <w:rsid w:val="00C7079D"/>
    <w:rsid w:val="00C72807"/>
    <w:rsid w:val="00C72C8D"/>
    <w:rsid w:val="00C762DB"/>
    <w:rsid w:val="00C76661"/>
    <w:rsid w:val="00C76C38"/>
    <w:rsid w:val="00C8425D"/>
    <w:rsid w:val="00C90BA4"/>
    <w:rsid w:val="00C97BB8"/>
    <w:rsid w:val="00CA6890"/>
    <w:rsid w:val="00CB1485"/>
    <w:rsid w:val="00CB1DB0"/>
    <w:rsid w:val="00CB78C3"/>
    <w:rsid w:val="00CB7E2B"/>
    <w:rsid w:val="00CC216B"/>
    <w:rsid w:val="00CC2F13"/>
    <w:rsid w:val="00CC5FE3"/>
    <w:rsid w:val="00CC6A63"/>
    <w:rsid w:val="00CC6AB0"/>
    <w:rsid w:val="00CC6B2A"/>
    <w:rsid w:val="00CD0740"/>
    <w:rsid w:val="00CD199C"/>
    <w:rsid w:val="00CD486F"/>
    <w:rsid w:val="00CD4987"/>
    <w:rsid w:val="00CD4CF4"/>
    <w:rsid w:val="00CD5328"/>
    <w:rsid w:val="00CD672B"/>
    <w:rsid w:val="00CE0957"/>
    <w:rsid w:val="00CE2549"/>
    <w:rsid w:val="00CF08B9"/>
    <w:rsid w:val="00CF57DD"/>
    <w:rsid w:val="00CF5DED"/>
    <w:rsid w:val="00CF657E"/>
    <w:rsid w:val="00CF6ABD"/>
    <w:rsid w:val="00D02BE4"/>
    <w:rsid w:val="00D04C63"/>
    <w:rsid w:val="00D10D46"/>
    <w:rsid w:val="00D15549"/>
    <w:rsid w:val="00D15CC2"/>
    <w:rsid w:val="00D16ACA"/>
    <w:rsid w:val="00D17316"/>
    <w:rsid w:val="00D2121B"/>
    <w:rsid w:val="00D31D2B"/>
    <w:rsid w:val="00D31F5E"/>
    <w:rsid w:val="00D344DC"/>
    <w:rsid w:val="00D34D13"/>
    <w:rsid w:val="00D37051"/>
    <w:rsid w:val="00D411E1"/>
    <w:rsid w:val="00D414AA"/>
    <w:rsid w:val="00D431EF"/>
    <w:rsid w:val="00D4450B"/>
    <w:rsid w:val="00D50FF6"/>
    <w:rsid w:val="00D5427D"/>
    <w:rsid w:val="00D54884"/>
    <w:rsid w:val="00D5705C"/>
    <w:rsid w:val="00D636B5"/>
    <w:rsid w:val="00D731EB"/>
    <w:rsid w:val="00D8150D"/>
    <w:rsid w:val="00D835E3"/>
    <w:rsid w:val="00D90D84"/>
    <w:rsid w:val="00D94EA2"/>
    <w:rsid w:val="00D96B63"/>
    <w:rsid w:val="00DA1B79"/>
    <w:rsid w:val="00DA5435"/>
    <w:rsid w:val="00DB081B"/>
    <w:rsid w:val="00DB28E4"/>
    <w:rsid w:val="00DC45FA"/>
    <w:rsid w:val="00DC5B22"/>
    <w:rsid w:val="00DC6F6B"/>
    <w:rsid w:val="00DC70CB"/>
    <w:rsid w:val="00DD27B9"/>
    <w:rsid w:val="00DD3269"/>
    <w:rsid w:val="00DE0572"/>
    <w:rsid w:val="00DE3E31"/>
    <w:rsid w:val="00DE5422"/>
    <w:rsid w:val="00DE7745"/>
    <w:rsid w:val="00DF185D"/>
    <w:rsid w:val="00DF1879"/>
    <w:rsid w:val="00DF41B3"/>
    <w:rsid w:val="00DF7A53"/>
    <w:rsid w:val="00DF7A79"/>
    <w:rsid w:val="00E0054F"/>
    <w:rsid w:val="00E06CDC"/>
    <w:rsid w:val="00E10EFF"/>
    <w:rsid w:val="00E115D1"/>
    <w:rsid w:val="00E12558"/>
    <w:rsid w:val="00E12DED"/>
    <w:rsid w:val="00E17CD5"/>
    <w:rsid w:val="00E17D2F"/>
    <w:rsid w:val="00E20C7F"/>
    <w:rsid w:val="00E2108D"/>
    <w:rsid w:val="00E2304A"/>
    <w:rsid w:val="00E24CAE"/>
    <w:rsid w:val="00E266B8"/>
    <w:rsid w:val="00E36463"/>
    <w:rsid w:val="00E40E7E"/>
    <w:rsid w:val="00E45C5E"/>
    <w:rsid w:val="00E474F2"/>
    <w:rsid w:val="00E50DB2"/>
    <w:rsid w:val="00E528B7"/>
    <w:rsid w:val="00E5421F"/>
    <w:rsid w:val="00E55D0E"/>
    <w:rsid w:val="00E65310"/>
    <w:rsid w:val="00E66420"/>
    <w:rsid w:val="00E749F3"/>
    <w:rsid w:val="00E81716"/>
    <w:rsid w:val="00E9124A"/>
    <w:rsid w:val="00E950CF"/>
    <w:rsid w:val="00E97894"/>
    <w:rsid w:val="00EA1D52"/>
    <w:rsid w:val="00EA3303"/>
    <w:rsid w:val="00EA5EFE"/>
    <w:rsid w:val="00EA7C3A"/>
    <w:rsid w:val="00EB65C1"/>
    <w:rsid w:val="00EB6B0D"/>
    <w:rsid w:val="00EC17B6"/>
    <w:rsid w:val="00EC1C88"/>
    <w:rsid w:val="00EC7C4B"/>
    <w:rsid w:val="00ED2682"/>
    <w:rsid w:val="00ED3A09"/>
    <w:rsid w:val="00ED76A5"/>
    <w:rsid w:val="00EE2D29"/>
    <w:rsid w:val="00EE5795"/>
    <w:rsid w:val="00EF1CBB"/>
    <w:rsid w:val="00EF1D0F"/>
    <w:rsid w:val="00EF459C"/>
    <w:rsid w:val="00EF541C"/>
    <w:rsid w:val="00F02AD3"/>
    <w:rsid w:val="00F0767C"/>
    <w:rsid w:val="00F16276"/>
    <w:rsid w:val="00F163B4"/>
    <w:rsid w:val="00F164BE"/>
    <w:rsid w:val="00F413CA"/>
    <w:rsid w:val="00F42DDE"/>
    <w:rsid w:val="00F4501B"/>
    <w:rsid w:val="00F508F0"/>
    <w:rsid w:val="00F526E8"/>
    <w:rsid w:val="00F54D3C"/>
    <w:rsid w:val="00F64CB9"/>
    <w:rsid w:val="00F71358"/>
    <w:rsid w:val="00F764B3"/>
    <w:rsid w:val="00F77205"/>
    <w:rsid w:val="00F95595"/>
    <w:rsid w:val="00F96EEE"/>
    <w:rsid w:val="00FA24D7"/>
    <w:rsid w:val="00FA48DF"/>
    <w:rsid w:val="00FA4C18"/>
    <w:rsid w:val="00FB0740"/>
    <w:rsid w:val="00FB5FCC"/>
    <w:rsid w:val="00FB676D"/>
    <w:rsid w:val="00FB75C9"/>
    <w:rsid w:val="00FC03CB"/>
    <w:rsid w:val="00FC3410"/>
    <w:rsid w:val="00FC572A"/>
    <w:rsid w:val="00FD1580"/>
    <w:rsid w:val="00FD48FA"/>
    <w:rsid w:val="00FE10A5"/>
    <w:rsid w:val="00FE1B2A"/>
    <w:rsid w:val="00FE5B13"/>
    <w:rsid w:val="00FF476F"/>
    <w:rsid w:val="00FF507F"/>
    <w:rsid w:val="00FF5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85"/>
  </w:style>
  <w:style w:type="paragraph" w:styleId="Heading1">
    <w:name w:val="heading 1"/>
    <w:basedOn w:val="Normal"/>
    <w:next w:val="Normal"/>
    <w:link w:val="Heading1Char"/>
    <w:uiPriority w:val="9"/>
    <w:qFormat/>
    <w:rsid w:val="00D73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31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31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30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0935"/>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3C0935"/>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3C0935"/>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3C0935"/>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3C0935"/>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B22"/>
  </w:style>
  <w:style w:type="paragraph" w:styleId="Footer">
    <w:name w:val="footer"/>
    <w:basedOn w:val="Normal"/>
    <w:link w:val="FooterChar"/>
    <w:uiPriority w:val="99"/>
    <w:unhideWhenUsed/>
    <w:rsid w:val="00784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22"/>
  </w:style>
  <w:style w:type="paragraph" w:styleId="BalloonText">
    <w:name w:val="Balloon Text"/>
    <w:basedOn w:val="Normal"/>
    <w:link w:val="BalloonTextChar"/>
    <w:uiPriority w:val="99"/>
    <w:semiHidden/>
    <w:unhideWhenUsed/>
    <w:rsid w:val="0078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B22"/>
    <w:rPr>
      <w:rFonts w:ascii="Tahoma" w:hAnsi="Tahoma" w:cs="Tahoma"/>
      <w:sz w:val="16"/>
      <w:szCs w:val="16"/>
    </w:rPr>
  </w:style>
  <w:style w:type="paragraph" w:styleId="NoSpacing">
    <w:name w:val="No Spacing"/>
    <w:link w:val="NoSpacingChar"/>
    <w:uiPriority w:val="1"/>
    <w:qFormat/>
    <w:rsid w:val="00784B22"/>
    <w:pPr>
      <w:spacing w:after="0" w:line="240" w:lineRule="auto"/>
    </w:pPr>
    <w:rPr>
      <w:rFonts w:eastAsiaTheme="minorEastAsia"/>
    </w:rPr>
  </w:style>
  <w:style w:type="character" w:customStyle="1" w:styleId="NoSpacingChar">
    <w:name w:val="No Spacing Char"/>
    <w:basedOn w:val="DefaultParagraphFont"/>
    <w:link w:val="NoSpacing"/>
    <w:uiPriority w:val="1"/>
    <w:rsid w:val="00784B22"/>
    <w:rPr>
      <w:rFonts w:eastAsiaTheme="minorEastAsia"/>
    </w:rPr>
  </w:style>
  <w:style w:type="character" w:customStyle="1" w:styleId="Heading1Char">
    <w:name w:val="Heading 1 Char"/>
    <w:basedOn w:val="DefaultParagraphFont"/>
    <w:link w:val="Heading1"/>
    <w:uiPriority w:val="9"/>
    <w:rsid w:val="00D731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31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31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3028"/>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2530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302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E17D2F"/>
    <w:rPr>
      <w:color w:val="0000FF"/>
      <w:u w:val="single"/>
    </w:rPr>
  </w:style>
  <w:style w:type="character" w:customStyle="1" w:styleId="aqj">
    <w:name w:val="aqj"/>
    <w:basedOn w:val="DefaultParagraphFont"/>
    <w:rsid w:val="00E17D2F"/>
  </w:style>
  <w:style w:type="character" w:customStyle="1" w:styleId="Heading5Char">
    <w:name w:val="Heading 5 Char"/>
    <w:basedOn w:val="DefaultParagraphFont"/>
    <w:link w:val="Heading5"/>
    <w:uiPriority w:val="9"/>
    <w:rsid w:val="003C0935"/>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3C0935"/>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3C0935"/>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3C0935"/>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rsid w:val="003C0935"/>
    <w:rPr>
      <w:rFonts w:asciiTheme="majorHAnsi" w:eastAsiaTheme="majorEastAsia" w:hAnsiTheme="majorHAnsi" w:cstheme="majorBidi"/>
      <w:i/>
      <w:iCs/>
      <w:color w:val="404040" w:themeColor="text1" w:themeTint="BF"/>
      <w:sz w:val="20"/>
      <w:szCs w:val="20"/>
      <w:lang w:bidi="en-US"/>
    </w:rPr>
  </w:style>
  <w:style w:type="paragraph" w:styleId="Caption">
    <w:name w:val="caption"/>
    <w:basedOn w:val="Normal"/>
    <w:next w:val="Normal"/>
    <w:uiPriority w:val="35"/>
    <w:semiHidden/>
    <w:unhideWhenUsed/>
    <w:qFormat/>
    <w:rsid w:val="003C0935"/>
    <w:pPr>
      <w:spacing w:line="240" w:lineRule="auto"/>
    </w:pPr>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3C09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3C0935"/>
    <w:rPr>
      <w:rFonts w:asciiTheme="majorHAnsi" w:eastAsiaTheme="majorEastAsia" w:hAnsiTheme="majorHAnsi" w:cstheme="majorBidi"/>
      <w:color w:val="17365D" w:themeColor="text2" w:themeShade="BF"/>
      <w:spacing w:val="5"/>
      <w:kern w:val="28"/>
      <w:sz w:val="52"/>
      <w:szCs w:val="52"/>
      <w:lang w:bidi="en-US"/>
    </w:rPr>
  </w:style>
  <w:style w:type="character" w:styleId="Strong">
    <w:name w:val="Strong"/>
    <w:basedOn w:val="DefaultParagraphFont"/>
    <w:uiPriority w:val="22"/>
    <w:qFormat/>
    <w:rsid w:val="003C0935"/>
    <w:rPr>
      <w:b/>
      <w:bCs/>
    </w:rPr>
  </w:style>
  <w:style w:type="character" w:styleId="Emphasis">
    <w:name w:val="Emphasis"/>
    <w:basedOn w:val="DefaultParagraphFont"/>
    <w:uiPriority w:val="20"/>
    <w:qFormat/>
    <w:rsid w:val="003C0935"/>
    <w:rPr>
      <w:i/>
      <w:iCs/>
    </w:rPr>
  </w:style>
  <w:style w:type="paragraph" w:styleId="ListParagraph">
    <w:name w:val="List Paragraph"/>
    <w:basedOn w:val="Normal"/>
    <w:uiPriority w:val="34"/>
    <w:qFormat/>
    <w:rsid w:val="003C0935"/>
    <w:pPr>
      <w:ind w:left="720"/>
      <w:contextualSpacing/>
    </w:pPr>
    <w:rPr>
      <w:rFonts w:eastAsiaTheme="minorEastAsia"/>
      <w:lang w:bidi="en-US"/>
    </w:rPr>
  </w:style>
  <w:style w:type="paragraph" w:styleId="Quote">
    <w:name w:val="Quote"/>
    <w:basedOn w:val="Normal"/>
    <w:next w:val="Normal"/>
    <w:link w:val="QuoteChar"/>
    <w:uiPriority w:val="29"/>
    <w:qFormat/>
    <w:rsid w:val="003C0935"/>
    <w:rPr>
      <w:rFonts w:eastAsiaTheme="minorEastAsia"/>
      <w:i/>
      <w:iCs/>
      <w:color w:val="000000" w:themeColor="text1"/>
      <w:lang w:bidi="en-US"/>
    </w:rPr>
  </w:style>
  <w:style w:type="character" w:customStyle="1" w:styleId="QuoteChar">
    <w:name w:val="Quote Char"/>
    <w:basedOn w:val="DefaultParagraphFont"/>
    <w:link w:val="Quote"/>
    <w:uiPriority w:val="29"/>
    <w:rsid w:val="003C0935"/>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3C0935"/>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3C0935"/>
    <w:rPr>
      <w:rFonts w:eastAsiaTheme="minorEastAsia"/>
      <w:b/>
      <w:bCs/>
      <w:i/>
      <w:iCs/>
      <w:color w:val="4F81BD" w:themeColor="accent1"/>
      <w:lang w:bidi="en-US"/>
    </w:rPr>
  </w:style>
  <w:style w:type="character" w:styleId="SubtleEmphasis">
    <w:name w:val="Subtle Emphasis"/>
    <w:basedOn w:val="DefaultParagraphFont"/>
    <w:uiPriority w:val="19"/>
    <w:qFormat/>
    <w:rsid w:val="003C0935"/>
    <w:rPr>
      <w:i/>
      <w:iCs/>
      <w:color w:val="808080" w:themeColor="text1" w:themeTint="7F"/>
    </w:rPr>
  </w:style>
  <w:style w:type="character" w:styleId="IntenseEmphasis">
    <w:name w:val="Intense Emphasis"/>
    <w:basedOn w:val="DefaultParagraphFont"/>
    <w:uiPriority w:val="21"/>
    <w:qFormat/>
    <w:rsid w:val="003C0935"/>
    <w:rPr>
      <w:b/>
      <w:bCs/>
      <w:i/>
      <w:iCs/>
      <w:color w:val="4F81BD" w:themeColor="accent1"/>
    </w:rPr>
  </w:style>
  <w:style w:type="character" w:styleId="SubtleReference">
    <w:name w:val="Subtle Reference"/>
    <w:basedOn w:val="DefaultParagraphFont"/>
    <w:uiPriority w:val="31"/>
    <w:qFormat/>
    <w:rsid w:val="003C0935"/>
    <w:rPr>
      <w:smallCaps/>
      <w:color w:val="C0504D" w:themeColor="accent2"/>
      <w:u w:val="single"/>
    </w:rPr>
  </w:style>
  <w:style w:type="character" w:styleId="IntenseReference">
    <w:name w:val="Intense Reference"/>
    <w:basedOn w:val="DefaultParagraphFont"/>
    <w:uiPriority w:val="32"/>
    <w:qFormat/>
    <w:rsid w:val="003C0935"/>
    <w:rPr>
      <w:b/>
      <w:bCs/>
      <w:smallCaps/>
      <w:color w:val="C0504D" w:themeColor="accent2"/>
      <w:spacing w:val="5"/>
      <w:u w:val="single"/>
    </w:rPr>
  </w:style>
  <w:style w:type="character" w:styleId="BookTitle">
    <w:name w:val="Book Title"/>
    <w:basedOn w:val="DefaultParagraphFont"/>
    <w:uiPriority w:val="33"/>
    <w:qFormat/>
    <w:rsid w:val="003C0935"/>
    <w:rPr>
      <w:b/>
      <w:bCs/>
      <w:smallCaps/>
      <w:spacing w:val="5"/>
    </w:rPr>
  </w:style>
  <w:style w:type="paragraph" w:styleId="TOCHeading">
    <w:name w:val="TOC Heading"/>
    <w:basedOn w:val="Heading1"/>
    <w:next w:val="Normal"/>
    <w:uiPriority w:val="39"/>
    <w:semiHidden/>
    <w:unhideWhenUsed/>
    <w:qFormat/>
    <w:rsid w:val="003C0935"/>
    <w:pPr>
      <w:outlineLvl w:val="9"/>
    </w:pPr>
    <w:rPr>
      <w:lang w:bidi="en-US"/>
    </w:rPr>
  </w:style>
  <w:style w:type="character" w:customStyle="1" w:styleId="st">
    <w:name w:val="st"/>
    <w:basedOn w:val="DefaultParagraphFont"/>
    <w:rsid w:val="003C0935"/>
  </w:style>
  <w:style w:type="paragraph" w:styleId="NormalWeb">
    <w:name w:val="Normal (Web)"/>
    <w:basedOn w:val="Normal"/>
    <w:uiPriority w:val="99"/>
    <w:unhideWhenUsed/>
    <w:rsid w:val="00680BE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07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791"/>
    <w:rPr>
      <w:sz w:val="20"/>
      <w:szCs w:val="20"/>
    </w:rPr>
  </w:style>
  <w:style w:type="character" w:styleId="FootnoteReference">
    <w:name w:val="footnote reference"/>
    <w:basedOn w:val="DefaultParagraphFont"/>
    <w:uiPriority w:val="99"/>
    <w:semiHidden/>
    <w:unhideWhenUsed/>
    <w:rsid w:val="00190791"/>
    <w:rPr>
      <w:vertAlign w:val="superscript"/>
    </w:rPr>
  </w:style>
  <w:style w:type="character" w:styleId="CommentReference">
    <w:name w:val="annotation reference"/>
    <w:basedOn w:val="DefaultParagraphFont"/>
    <w:uiPriority w:val="99"/>
    <w:semiHidden/>
    <w:unhideWhenUsed/>
    <w:rsid w:val="007717E7"/>
    <w:rPr>
      <w:sz w:val="16"/>
      <w:szCs w:val="16"/>
    </w:rPr>
  </w:style>
  <w:style w:type="paragraph" w:styleId="CommentText">
    <w:name w:val="annotation text"/>
    <w:basedOn w:val="Normal"/>
    <w:link w:val="CommentTextChar"/>
    <w:uiPriority w:val="99"/>
    <w:semiHidden/>
    <w:unhideWhenUsed/>
    <w:rsid w:val="007717E7"/>
    <w:pPr>
      <w:spacing w:line="240" w:lineRule="auto"/>
    </w:pPr>
    <w:rPr>
      <w:sz w:val="20"/>
      <w:szCs w:val="20"/>
    </w:rPr>
  </w:style>
  <w:style w:type="character" w:customStyle="1" w:styleId="CommentTextChar">
    <w:name w:val="Comment Text Char"/>
    <w:basedOn w:val="DefaultParagraphFont"/>
    <w:link w:val="CommentText"/>
    <w:uiPriority w:val="99"/>
    <w:semiHidden/>
    <w:rsid w:val="007717E7"/>
    <w:rPr>
      <w:sz w:val="20"/>
      <w:szCs w:val="20"/>
    </w:rPr>
  </w:style>
  <w:style w:type="paragraph" w:styleId="CommentSubject">
    <w:name w:val="annotation subject"/>
    <w:basedOn w:val="CommentText"/>
    <w:next w:val="CommentText"/>
    <w:link w:val="CommentSubjectChar"/>
    <w:uiPriority w:val="99"/>
    <w:semiHidden/>
    <w:unhideWhenUsed/>
    <w:rsid w:val="007717E7"/>
    <w:rPr>
      <w:b/>
      <w:bCs/>
    </w:rPr>
  </w:style>
  <w:style w:type="character" w:customStyle="1" w:styleId="CommentSubjectChar">
    <w:name w:val="Comment Subject Char"/>
    <w:basedOn w:val="CommentTextChar"/>
    <w:link w:val="CommentSubject"/>
    <w:uiPriority w:val="99"/>
    <w:semiHidden/>
    <w:rsid w:val="007717E7"/>
    <w:rPr>
      <w:b/>
      <w:bCs/>
    </w:rPr>
  </w:style>
</w:styles>
</file>

<file path=word/webSettings.xml><?xml version="1.0" encoding="utf-8"?>
<w:webSettings xmlns:r="http://schemas.openxmlformats.org/officeDocument/2006/relationships" xmlns:w="http://schemas.openxmlformats.org/wordprocessingml/2006/main">
  <w:divs>
    <w:div w:id="457340636">
      <w:bodyDiv w:val="1"/>
      <w:marLeft w:val="0"/>
      <w:marRight w:val="0"/>
      <w:marTop w:val="0"/>
      <w:marBottom w:val="0"/>
      <w:divBdr>
        <w:top w:val="none" w:sz="0" w:space="0" w:color="auto"/>
        <w:left w:val="none" w:sz="0" w:space="0" w:color="auto"/>
        <w:bottom w:val="none" w:sz="0" w:space="0" w:color="auto"/>
        <w:right w:val="none" w:sz="0" w:space="0" w:color="auto"/>
      </w:divBdr>
    </w:div>
    <w:div w:id="636182804">
      <w:bodyDiv w:val="1"/>
      <w:marLeft w:val="0"/>
      <w:marRight w:val="0"/>
      <w:marTop w:val="0"/>
      <w:marBottom w:val="0"/>
      <w:divBdr>
        <w:top w:val="none" w:sz="0" w:space="0" w:color="auto"/>
        <w:left w:val="none" w:sz="0" w:space="0" w:color="auto"/>
        <w:bottom w:val="none" w:sz="0" w:space="0" w:color="auto"/>
        <w:right w:val="none" w:sz="0" w:space="0" w:color="auto"/>
      </w:divBdr>
    </w:div>
    <w:div w:id="757867125">
      <w:bodyDiv w:val="1"/>
      <w:marLeft w:val="0"/>
      <w:marRight w:val="0"/>
      <w:marTop w:val="0"/>
      <w:marBottom w:val="0"/>
      <w:divBdr>
        <w:top w:val="none" w:sz="0" w:space="0" w:color="auto"/>
        <w:left w:val="none" w:sz="0" w:space="0" w:color="auto"/>
        <w:bottom w:val="none" w:sz="0" w:space="0" w:color="auto"/>
        <w:right w:val="none" w:sz="0" w:space="0" w:color="auto"/>
      </w:divBdr>
      <w:divsChild>
        <w:div w:id="1852990892">
          <w:marLeft w:val="0"/>
          <w:marRight w:val="0"/>
          <w:marTop w:val="0"/>
          <w:marBottom w:val="0"/>
          <w:divBdr>
            <w:top w:val="none" w:sz="0" w:space="0" w:color="auto"/>
            <w:left w:val="none" w:sz="0" w:space="0" w:color="auto"/>
            <w:bottom w:val="none" w:sz="0" w:space="0" w:color="auto"/>
            <w:right w:val="none" w:sz="0" w:space="0" w:color="auto"/>
          </w:divBdr>
        </w:div>
      </w:divsChild>
    </w:div>
    <w:div w:id="8333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FloraRG\My%20Documents\Freelance\Meeting%20Minutes%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F5FC779DB14AE5B1C8BF696D0A39B8"/>
        <w:category>
          <w:name w:val="General"/>
          <w:gallery w:val="placeholder"/>
        </w:category>
        <w:types>
          <w:type w:val="bbPlcHdr"/>
        </w:types>
        <w:behaviors>
          <w:behavior w:val="content"/>
        </w:behaviors>
        <w:guid w:val="{10731E0D-AB75-4206-9516-70DC84263A01}"/>
      </w:docPartPr>
      <w:docPartBody>
        <w:p w:rsidR="002D31CA" w:rsidRDefault="005B29A3">
          <w:pPr>
            <w:pStyle w:val="03F5FC779DB14AE5B1C8BF696D0A39B8"/>
          </w:pPr>
          <w:r>
            <w:t>[Type the document title]</w:t>
          </w:r>
        </w:p>
      </w:docPartBody>
    </w:docPart>
    <w:docPart>
      <w:docPartPr>
        <w:name w:val="BD43255D525E4E4192A65F978955A1BD"/>
        <w:category>
          <w:name w:val="General"/>
          <w:gallery w:val="placeholder"/>
        </w:category>
        <w:types>
          <w:type w:val="bbPlcHdr"/>
        </w:types>
        <w:behaviors>
          <w:behavior w:val="content"/>
        </w:behaviors>
        <w:guid w:val="{1897310B-891C-494F-9F62-98EE459253B5}"/>
      </w:docPartPr>
      <w:docPartBody>
        <w:p w:rsidR="002D31CA" w:rsidRDefault="005B29A3">
          <w:pPr>
            <w:pStyle w:val="BD43255D525E4E4192A65F978955A1BD"/>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B29A3"/>
    <w:rsid w:val="00012C72"/>
    <w:rsid w:val="00071B9B"/>
    <w:rsid w:val="000828B4"/>
    <w:rsid w:val="001436AB"/>
    <w:rsid w:val="00241237"/>
    <w:rsid w:val="002412C8"/>
    <w:rsid w:val="002D31CA"/>
    <w:rsid w:val="00301A66"/>
    <w:rsid w:val="00307244"/>
    <w:rsid w:val="00360BBF"/>
    <w:rsid w:val="00410B37"/>
    <w:rsid w:val="004B7902"/>
    <w:rsid w:val="004D4DDC"/>
    <w:rsid w:val="005A6752"/>
    <w:rsid w:val="005B29A3"/>
    <w:rsid w:val="006622A1"/>
    <w:rsid w:val="0068667E"/>
    <w:rsid w:val="00693114"/>
    <w:rsid w:val="00802083"/>
    <w:rsid w:val="0082516B"/>
    <w:rsid w:val="009677C6"/>
    <w:rsid w:val="00990016"/>
    <w:rsid w:val="009C6AD0"/>
    <w:rsid w:val="00AD72D0"/>
    <w:rsid w:val="00C23324"/>
    <w:rsid w:val="00C319A7"/>
    <w:rsid w:val="00C4540A"/>
    <w:rsid w:val="00D126BD"/>
    <w:rsid w:val="00DB2E90"/>
    <w:rsid w:val="00E07DDF"/>
    <w:rsid w:val="00E70078"/>
    <w:rsid w:val="00E83B30"/>
    <w:rsid w:val="00EB03E9"/>
    <w:rsid w:val="00EE1273"/>
    <w:rsid w:val="00F238D0"/>
    <w:rsid w:val="00FA6EEF"/>
    <w:rsid w:val="00FC3868"/>
    <w:rsid w:val="00FF5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F5FC779DB14AE5B1C8BF696D0A39B8">
    <w:name w:val="03F5FC779DB14AE5B1C8BF696D0A39B8"/>
    <w:rsid w:val="002D31CA"/>
  </w:style>
  <w:style w:type="paragraph" w:customStyle="1" w:styleId="BD43255D525E4E4192A65F978955A1BD">
    <w:name w:val="BD43255D525E4E4192A65F978955A1BD"/>
    <w:rsid w:val="002D31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BEE9C-2991-464F-B79B-9BE06493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 Template.dotx</Template>
  <TotalTime>0</TotalTime>
  <Pages>21</Pages>
  <Words>8330</Words>
  <Characters>43821</Characters>
  <Application>Microsoft Office Word</Application>
  <DocSecurity>0</DocSecurity>
  <Lines>674</Lines>
  <Paragraphs>359</Paragraphs>
  <ScaleCrop>false</ScaleCrop>
  <HeadingPairs>
    <vt:vector size="2" baseType="variant">
      <vt:variant>
        <vt:lpstr>Title</vt:lpstr>
      </vt:variant>
      <vt:variant>
        <vt:i4>1</vt:i4>
      </vt:variant>
    </vt:vector>
  </HeadingPairs>
  <TitlesOfParts>
    <vt:vector size="1" baseType="lpstr">
      <vt:lpstr>Generating Resources Advisory Committee Meeting</vt:lpstr>
    </vt:vector>
  </TitlesOfParts>
  <Company>Freelance Flora</Company>
  <LinksUpToDate>false</LinksUpToDate>
  <CharactersWithSpaces>51792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Generating Resources Advisory Committee Meeting</dc:title>
  <dc:creator>Flora Richards-Gustafson</dc:creator>
  <cp:lastModifiedBy>Gillian Charles</cp:lastModifiedBy>
  <cp:revision>2</cp:revision>
  <cp:lastPrinted>2014-07-11T16:23:00Z</cp:lastPrinted>
  <dcterms:created xsi:type="dcterms:W3CDTF">2014-09-19T22:56:00Z</dcterms:created>
  <dcterms:modified xsi:type="dcterms:W3CDTF">2014-09-19T22:56:00Z</dcterms:modified>
</cp:coreProperties>
</file>