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89E80" w14:textId="18C4B37B" w:rsidR="00F13774" w:rsidRDefault="00F13774" w:rsidP="00F13774">
      <w:pPr>
        <w:pStyle w:val="Title"/>
        <w:jc w:val="center"/>
      </w:pPr>
      <w:r>
        <w:t>Upstream Methane &amp;</w:t>
      </w:r>
    </w:p>
    <w:p w14:paraId="2F11F395" w14:textId="5CABF0C8" w:rsidR="00F13774" w:rsidRDefault="00F13774" w:rsidP="00F13774">
      <w:pPr>
        <w:pStyle w:val="Title"/>
        <w:jc w:val="center"/>
      </w:pPr>
      <w:r>
        <w:t>The 2021 Power Plan</w:t>
      </w:r>
    </w:p>
    <w:p w14:paraId="4B4108A4" w14:textId="77777777" w:rsidR="007627EF" w:rsidRPr="007627EF" w:rsidRDefault="007627EF" w:rsidP="007627EF"/>
    <w:sdt>
      <w:sdtPr>
        <w:rPr>
          <w:rFonts w:asciiTheme="minorHAnsi" w:eastAsiaTheme="minorHAnsi" w:hAnsiTheme="minorHAnsi" w:cstheme="minorBidi"/>
          <w:color w:val="auto"/>
          <w:sz w:val="22"/>
          <w:szCs w:val="22"/>
        </w:rPr>
        <w:id w:val="-1153213867"/>
        <w:docPartObj>
          <w:docPartGallery w:val="Table of Contents"/>
          <w:docPartUnique/>
        </w:docPartObj>
      </w:sdtPr>
      <w:sdtEndPr>
        <w:rPr>
          <w:b/>
          <w:bCs/>
          <w:noProof/>
        </w:rPr>
      </w:sdtEndPr>
      <w:sdtContent>
        <w:p w14:paraId="738DDF75" w14:textId="7029EC0B" w:rsidR="007627EF" w:rsidRDefault="007627EF">
          <w:pPr>
            <w:pStyle w:val="TOCHeading"/>
          </w:pPr>
          <w:r>
            <w:t>Contents</w:t>
          </w:r>
        </w:p>
        <w:p w14:paraId="6E847836" w14:textId="1266D719" w:rsidR="00C221DA" w:rsidRDefault="007627E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3052730" w:history="1">
            <w:r w:rsidR="00C221DA" w:rsidRPr="00165327">
              <w:rPr>
                <w:rStyle w:val="Hyperlink"/>
                <w:noProof/>
              </w:rPr>
              <w:t>Summary</w:t>
            </w:r>
            <w:r w:rsidR="00C221DA">
              <w:rPr>
                <w:noProof/>
                <w:webHidden/>
              </w:rPr>
              <w:tab/>
            </w:r>
            <w:r w:rsidR="00C221DA">
              <w:rPr>
                <w:noProof/>
                <w:webHidden/>
              </w:rPr>
              <w:fldChar w:fldCharType="begin"/>
            </w:r>
            <w:r w:rsidR="00C221DA">
              <w:rPr>
                <w:noProof/>
                <w:webHidden/>
              </w:rPr>
              <w:instrText xml:space="preserve"> PAGEREF _Toc43052730 \h </w:instrText>
            </w:r>
            <w:r w:rsidR="00C221DA">
              <w:rPr>
                <w:noProof/>
                <w:webHidden/>
              </w:rPr>
            </w:r>
            <w:r w:rsidR="00C221DA">
              <w:rPr>
                <w:noProof/>
                <w:webHidden/>
              </w:rPr>
              <w:fldChar w:fldCharType="separate"/>
            </w:r>
            <w:r w:rsidR="00C221DA">
              <w:rPr>
                <w:noProof/>
                <w:webHidden/>
              </w:rPr>
              <w:t>1</w:t>
            </w:r>
            <w:r w:rsidR="00C221DA">
              <w:rPr>
                <w:noProof/>
                <w:webHidden/>
              </w:rPr>
              <w:fldChar w:fldCharType="end"/>
            </w:r>
          </w:hyperlink>
        </w:p>
        <w:p w14:paraId="6B0498BD" w14:textId="4FBADB1D" w:rsidR="00C221DA" w:rsidRDefault="00C221DA">
          <w:pPr>
            <w:pStyle w:val="TOC1"/>
            <w:tabs>
              <w:tab w:val="right" w:leader="dot" w:pos="9350"/>
            </w:tabs>
            <w:rPr>
              <w:rFonts w:eastAsiaTheme="minorEastAsia"/>
              <w:noProof/>
            </w:rPr>
          </w:pPr>
          <w:hyperlink w:anchor="_Toc43052731" w:history="1">
            <w:r w:rsidRPr="00165327">
              <w:rPr>
                <w:rStyle w:val="Hyperlink"/>
                <w:noProof/>
              </w:rPr>
              <w:t>Introduction</w:t>
            </w:r>
            <w:r>
              <w:rPr>
                <w:noProof/>
                <w:webHidden/>
              </w:rPr>
              <w:tab/>
            </w:r>
            <w:r>
              <w:rPr>
                <w:noProof/>
                <w:webHidden/>
              </w:rPr>
              <w:fldChar w:fldCharType="begin"/>
            </w:r>
            <w:r>
              <w:rPr>
                <w:noProof/>
                <w:webHidden/>
              </w:rPr>
              <w:instrText xml:space="preserve"> PAGEREF _Toc43052731 \h </w:instrText>
            </w:r>
            <w:r>
              <w:rPr>
                <w:noProof/>
                <w:webHidden/>
              </w:rPr>
            </w:r>
            <w:r>
              <w:rPr>
                <w:noProof/>
                <w:webHidden/>
              </w:rPr>
              <w:fldChar w:fldCharType="separate"/>
            </w:r>
            <w:r>
              <w:rPr>
                <w:noProof/>
                <w:webHidden/>
              </w:rPr>
              <w:t>2</w:t>
            </w:r>
            <w:r>
              <w:rPr>
                <w:noProof/>
                <w:webHidden/>
              </w:rPr>
              <w:fldChar w:fldCharType="end"/>
            </w:r>
          </w:hyperlink>
        </w:p>
        <w:p w14:paraId="2A6484DF" w14:textId="3DC8FE30" w:rsidR="00C221DA" w:rsidRDefault="00C221DA">
          <w:pPr>
            <w:pStyle w:val="TOC1"/>
            <w:tabs>
              <w:tab w:val="right" w:leader="dot" w:pos="9350"/>
            </w:tabs>
            <w:rPr>
              <w:rFonts w:eastAsiaTheme="minorEastAsia"/>
              <w:noProof/>
            </w:rPr>
          </w:pPr>
          <w:hyperlink w:anchor="_Toc43052732" w:history="1">
            <w:r w:rsidRPr="00165327">
              <w:rPr>
                <w:rStyle w:val="Hyperlink"/>
                <w:noProof/>
              </w:rPr>
              <w:t>Methane Emission Studies</w:t>
            </w:r>
            <w:r>
              <w:rPr>
                <w:noProof/>
                <w:webHidden/>
              </w:rPr>
              <w:tab/>
            </w:r>
            <w:r>
              <w:rPr>
                <w:noProof/>
                <w:webHidden/>
              </w:rPr>
              <w:fldChar w:fldCharType="begin"/>
            </w:r>
            <w:r>
              <w:rPr>
                <w:noProof/>
                <w:webHidden/>
              </w:rPr>
              <w:instrText xml:space="preserve"> PAGEREF _Toc43052732 \h </w:instrText>
            </w:r>
            <w:r>
              <w:rPr>
                <w:noProof/>
                <w:webHidden/>
              </w:rPr>
            </w:r>
            <w:r>
              <w:rPr>
                <w:noProof/>
                <w:webHidden/>
              </w:rPr>
              <w:fldChar w:fldCharType="separate"/>
            </w:r>
            <w:r>
              <w:rPr>
                <w:noProof/>
                <w:webHidden/>
              </w:rPr>
              <w:t>3</w:t>
            </w:r>
            <w:r>
              <w:rPr>
                <w:noProof/>
                <w:webHidden/>
              </w:rPr>
              <w:fldChar w:fldCharType="end"/>
            </w:r>
          </w:hyperlink>
        </w:p>
        <w:p w14:paraId="6D4A1C60" w14:textId="6A66F61B" w:rsidR="00C221DA" w:rsidRDefault="00C221DA">
          <w:pPr>
            <w:pStyle w:val="TOC1"/>
            <w:tabs>
              <w:tab w:val="right" w:leader="dot" w:pos="9350"/>
            </w:tabs>
            <w:rPr>
              <w:rFonts w:eastAsiaTheme="minorEastAsia"/>
              <w:noProof/>
            </w:rPr>
          </w:pPr>
          <w:hyperlink w:anchor="_Toc43052733" w:history="1">
            <w:r w:rsidRPr="00165327">
              <w:rPr>
                <w:rStyle w:val="Hyperlink"/>
                <w:noProof/>
              </w:rPr>
              <w:t>Standardization of Study Results</w:t>
            </w:r>
            <w:r>
              <w:rPr>
                <w:noProof/>
                <w:webHidden/>
              </w:rPr>
              <w:tab/>
            </w:r>
            <w:r>
              <w:rPr>
                <w:noProof/>
                <w:webHidden/>
              </w:rPr>
              <w:fldChar w:fldCharType="begin"/>
            </w:r>
            <w:r>
              <w:rPr>
                <w:noProof/>
                <w:webHidden/>
              </w:rPr>
              <w:instrText xml:space="preserve"> PAGEREF _Toc43052733 \h </w:instrText>
            </w:r>
            <w:r>
              <w:rPr>
                <w:noProof/>
                <w:webHidden/>
              </w:rPr>
            </w:r>
            <w:r>
              <w:rPr>
                <w:noProof/>
                <w:webHidden/>
              </w:rPr>
              <w:fldChar w:fldCharType="separate"/>
            </w:r>
            <w:r>
              <w:rPr>
                <w:noProof/>
                <w:webHidden/>
              </w:rPr>
              <w:t>5</w:t>
            </w:r>
            <w:r>
              <w:rPr>
                <w:noProof/>
                <w:webHidden/>
              </w:rPr>
              <w:fldChar w:fldCharType="end"/>
            </w:r>
          </w:hyperlink>
        </w:p>
        <w:p w14:paraId="4F2F8603" w14:textId="00782894" w:rsidR="00C221DA" w:rsidRDefault="00C221DA">
          <w:pPr>
            <w:pStyle w:val="TOC1"/>
            <w:tabs>
              <w:tab w:val="right" w:leader="dot" w:pos="9350"/>
            </w:tabs>
            <w:rPr>
              <w:rFonts w:eastAsiaTheme="minorEastAsia"/>
              <w:noProof/>
            </w:rPr>
          </w:pPr>
          <w:hyperlink w:anchor="_Toc43052734" w:history="1">
            <w:r w:rsidRPr="00165327">
              <w:rPr>
                <w:rStyle w:val="Hyperlink"/>
                <w:noProof/>
              </w:rPr>
              <w:t>Fuel Emission Rate Calculation &amp; Results</w:t>
            </w:r>
            <w:r>
              <w:rPr>
                <w:noProof/>
                <w:webHidden/>
              </w:rPr>
              <w:tab/>
            </w:r>
            <w:r>
              <w:rPr>
                <w:noProof/>
                <w:webHidden/>
              </w:rPr>
              <w:fldChar w:fldCharType="begin"/>
            </w:r>
            <w:r>
              <w:rPr>
                <w:noProof/>
                <w:webHidden/>
              </w:rPr>
              <w:instrText xml:space="preserve"> PAGEREF _Toc43052734 \h </w:instrText>
            </w:r>
            <w:r>
              <w:rPr>
                <w:noProof/>
                <w:webHidden/>
              </w:rPr>
            </w:r>
            <w:r>
              <w:rPr>
                <w:noProof/>
                <w:webHidden/>
              </w:rPr>
              <w:fldChar w:fldCharType="separate"/>
            </w:r>
            <w:r>
              <w:rPr>
                <w:noProof/>
                <w:webHidden/>
              </w:rPr>
              <w:t>6</w:t>
            </w:r>
            <w:r>
              <w:rPr>
                <w:noProof/>
                <w:webHidden/>
              </w:rPr>
              <w:fldChar w:fldCharType="end"/>
            </w:r>
          </w:hyperlink>
        </w:p>
        <w:p w14:paraId="6D34F3BC" w14:textId="79D7CB6E" w:rsidR="00C221DA" w:rsidRDefault="00C221DA">
          <w:pPr>
            <w:pStyle w:val="TOC2"/>
            <w:tabs>
              <w:tab w:val="right" w:leader="dot" w:pos="9350"/>
            </w:tabs>
            <w:rPr>
              <w:rFonts w:eastAsiaTheme="minorEastAsia"/>
              <w:noProof/>
            </w:rPr>
          </w:pPr>
          <w:hyperlink w:anchor="_Toc43052735" w:history="1">
            <w:r w:rsidRPr="00165327">
              <w:rPr>
                <w:rStyle w:val="Hyperlink"/>
                <w:noProof/>
              </w:rPr>
              <w:t>Coal</w:t>
            </w:r>
            <w:r>
              <w:rPr>
                <w:noProof/>
                <w:webHidden/>
              </w:rPr>
              <w:tab/>
            </w:r>
            <w:r>
              <w:rPr>
                <w:noProof/>
                <w:webHidden/>
              </w:rPr>
              <w:fldChar w:fldCharType="begin"/>
            </w:r>
            <w:r>
              <w:rPr>
                <w:noProof/>
                <w:webHidden/>
              </w:rPr>
              <w:instrText xml:space="preserve"> PAGEREF _Toc43052735 \h </w:instrText>
            </w:r>
            <w:r>
              <w:rPr>
                <w:noProof/>
                <w:webHidden/>
              </w:rPr>
            </w:r>
            <w:r>
              <w:rPr>
                <w:noProof/>
                <w:webHidden/>
              </w:rPr>
              <w:fldChar w:fldCharType="separate"/>
            </w:r>
            <w:r>
              <w:rPr>
                <w:noProof/>
                <w:webHidden/>
              </w:rPr>
              <w:t>6</w:t>
            </w:r>
            <w:r>
              <w:rPr>
                <w:noProof/>
                <w:webHidden/>
              </w:rPr>
              <w:fldChar w:fldCharType="end"/>
            </w:r>
          </w:hyperlink>
        </w:p>
        <w:p w14:paraId="23775A8D" w14:textId="12B5BF4B" w:rsidR="00C221DA" w:rsidRDefault="00C221DA">
          <w:pPr>
            <w:pStyle w:val="TOC2"/>
            <w:tabs>
              <w:tab w:val="right" w:leader="dot" w:pos="9350"/>
            </w:tabs>
            <w:rPr>
              <w:rFonts w:eastAsiaTheme="minorEastAsia"/>
              <w:noProof/>
            </w:rPr>
          </w:pPr>
          <w:hyperlink w:anchor="_Toc43052736" w:history="1">
            <w:r w:rsidRPr="00165327">
              <w:rPr>
                <w:rStyle w:val="Hyperlink"/>
                <w:noProof/>
              </w:rPr>
              <w:t>Natural Gas</w:t>
            </w:r>
            <w:r>
              <w:rPr>
                <w:noProof/>
                <w:webHidden/>
              </w:rPr>
              <w:tab/>
            </w:r>
            <w:r>
              <w:rPr>
                <w:noProof/>
                <w:webHidden/>
              </w:rPr>
              <w:fldChar w:fldCharType="begin"/>
            </w:r>
            <w:r>
              <w:rPr>
                <w:noProof/>
                <w:webHidden/>
              </w:rPr>
              <w:instrText xml:space="preserve"> PAGEREF _Toc43052736 \h </w:instrText>
            </w:r>
            <w:r>
              <w:rPr>
                <w:noProof/>
                <w:webHidden/>
              </w:rPr>
            </w:r>
            <w:r>
              <w:rPr>
                <w:noProof/>
                <w:webHidden/>
              </w:rPr>
              <w:fldChar w:fldCharType="separate"/>
            </w:r>
            <w:r>
              <w:rPr>
                <w:noProof/>
                <w:webHidden/>
              </w:rPr>
              <w:t>7</w:t>
            </w:r>
            <w:r>
              <w:rPr>
                <w:noProof/>
                <w:webHidden/>
              </w:rPr>
              <w:fldChar w:fldCharType="end"/>
            </w:r>
          </w:hyperlink>
        </w:p>
        <w:p w14:paraId="34D99263" w14:textId="436DAD8D" w:rsidR="00C221DA" w:rsidRDefault="00C221DA">
          <w:pPr>
            <w:pStyle w:val="TOC3"/>
            <w:tabs>
              <w:tab w:val="right" w:leader="dot" w:pos="9350"/>
            </w:tabs>
            <w:rPr>
              <w:rFonts w:eastAsiaTheme="minorEastAsia"/>
              <w:noProof/>
            </w:rPr>
          </w:pPr>
          <w:hyperlink w:anchor="_Toc43052737" w:history="1">
            <w:r w:rsidRPr="00165327">
              <w:rPr>
                <w:rStyle w:val="Hyperlink"/>
                <w:noProof/>
              </w:rPr>
              <w:t>Methane emission rate for the Northwest</w:t>
            </w:r>
            <w:r>
              <w:rPr>
                <w:noProof/>
                <w:webHidden/>
              </w:rPr>
              <w:tab/>
            </w:r>
            <w:r>
              <w:rPr>
                <w:noProof/>
                <w:webHidden/>
              </w:rPr>
              <w:fldChar w:fldCharType="begin"/>
            </w:r>
            <w:r>
              <w:rPr>
                <w:noProof/>
                <w:webHidden/>
              </w:rPr>
              <w:instrText xml:space="preserve"> PAGEREF _Toc43052737 \h </w:instrText>
            </w:r>
            <w:r>
              <w:rPr>
                <w:noProof/>
                <w:webHidden/>
              </w:rPr>
            </w:r>
            <w:r>
              <w:rPr>
                <w:noProof/>
                <w:webHidden/>
              </w:rPr>
              <w:fldChar w:fldCharType="separate"/>
            </w:r>
            <w:r>
              <w:rPr>
                <w:noProof/>
                <w:webHidden/>
              </w:rPr>
              <w:t>8</w:t>
            </w:r>
            <w:r>
              <w:rPr>
                <w:noProof/>
                <w:webHidden/>
              </w:rPr>
              <w:fldChar w:fldCharType="end"/>
            </w:r>
          </w:hyperlink>
        </w:p>
        <w:p w14:paraId="19D1BE87" w14:textId="3F836D5A" w:rsidR="00C221DA" w:rsidRDefault="00C221DA">
          <w:pPr>
            <w:pStyle w:val="TOC2"/>
            <w:tabs>
              <w:tab w:val="right" w:leader="dot" w:pos="9350"/>
            </w:tabs>
            <w:rPr>
              <w:rFonts w:eastAsiaTheme="minorEastAsia"/>
              <w:noProof/>
            </w:rPr>
          </w:pPr>
          <w:hyperlink w:anchor="_Toc43052738" w:history="1">
            <w:r w:rsidRPr="00165327">
              <w:rPr>
                <w:rStyle w:val="Hyperlink"/>
                <w:noProof/>
              </w:rPr>
              <w:t>Application to regional natural gas and coal power plants</w:t>
            </w:r>
            <w:r>
              <w:rPr>
                <w:noProof/>
                <w:webHidden/>
              </w:rPr>
              <w:tab/>
            </w:r>
            <w:r>
              <w:rPr>
                <w:noProof/>
                <w:webHidden/>
              </w:rPr>
              <w:fldChar w:fldCharType="begin"/>
            </w:r>
            <w:r>
              <w:rPr>
                <w:noProof/>
                <w:webHidden/>
              </w:rPr>
              <w:instrText xml:space="preserve"> PAGEREF _Toc43052738 \h </w:instrText>
            </w:r>
            <w:r>
              <w:rPr>
                <w:noProof/>
                <w:webHidden/>
              </w:rPr>
            </w:r>
            <w:r>
              <w:rPr>
                <w:noProof/>
                <w:webHidden/>
              </w:rPr>
              <w:fldChar w:fldCharType="separate"/>
            </w:r>
            <w:r>
              <w:rPr>
                <w:noProof/>
                <w:webHidden/>
              </w:rPr>
              <w:t>9</w:t>
            </w:r>
            <w:r>
              <w:rPr>
                <w:noProof/>
                <w:webHidden/>
              </w:rPr>
              <w:fldChar w:fldCharType="end"/>
            </w:r>
          </w:hyperlink>
        </w:p>
        <w:p w14:paraId="1E86FD5D" w14:textId="2E6EC7F3" w:rsidR="00C221DA" w:rsidRDefault="00C221DA">
          <w:pPr>
            <w:pStyle w:val="TOC2"/>
            <w:tabs>
              <w:tab w:val="right" w:leader="dot" w:pos="9350"/>
            </w:tabs>
            <w:rPr>
              <w:rFonts w:eastAsiaTheme="minorEastAsia"/>
              <w:noProof/>
            </w:rPr>
          </w:pPr>
          <w:hyperlink w:anchor="_Toc43052739" w:history="1">
            <w:r w:rsidRPr="00165327">
              <w:rPr>
                <w:rStyle w:val="Hyperlink"/>
                <w:noProof/>
              </w:rPr>
              <w:t>Results</w:t>
            </w:r>
            <w:r>
              <w:rPr>
                <w:noProof/>
                <w:webHidden/>
              </w:rPr>
              <w:tab/>
            </w:r>
            <w:r>
              <w:rPr>
                <w:noProof/>
                <w:webHidden/>
              </w:rPr>
              <w:fldChar w:fldCharType="begin"/>
            </w:r>
            <w:r>
              <w:rPr>
                <w:noProof/>
                <w:webHidden/>
              </w:rPr>
              <w:instrText xml:space="preserve"> PAGEREF _Toc43052739 \h </w:instrText>
            </w:r>
            <w:r>
              <w:rPr>
                <w:noProof/>
                <w:webHidden/>
              </w:rPr>
            </w:r>
            <w:r>
              <w:rPr>
                <w:noProof/>
                <w:webHidden/>
              </w:rPr>
              <w:fldChar w:fldCharType="separate"/>
            </w:r>
            <w:r>
              <w:rPr>
                <w:noProof/>
                <w:webHidden/>
              </w:rPr>
              <w:t>9</w:t>
            </w:r>
            <w:r>
              <w:rPr>
                <w:noProof/>
                <w:webHidden/>
              </w:rPr>
              <w:fldChar w:fldCharType="end"/>
            </w:r>
          </w:hyperlink>
        </w:p>
        <w:p w14:paraId="7B60E53A" w14:textId="21F9281C" w:rsidR="0044306A" w:rsidRDefault="007627EF" w:rsidP="0044306A">
          <w:r>
            <w:rPr>
              <w:b/>
              <w:bCs/>
              <w:noProof/>
            </w:rPr>
            <w:fldChar w:fldCharType="end"/>
          </w:r>
        </w:p>
      </w:sdtContent>
    </w:sdt>
    <w:p w14:paraId="3A79BC03" w14:textId="53C059B1" w:rsidR="00C32596" w:rsidRDefault="006210FA" w:rsidP="0096727F">
      <w:pPr>
        <w:pStyle w:val="Heading1"/>
      </w:pPr>
      <w:bookmarkStart w:id="0" w:name="_Toc43052730"/>
      <w:r>
        <w:t>Summary</w:t>
      </w:r>
      <w:bookmarkEnd w:id="0"/>
    </w:p>
    <w:p w14:paraId="515CE40E" w14:textId="587A36CE" w:rsidR="00C32596" w:rsidRDefault="006210FA" w:rsidP="006210FA">
      <w:r>
        <w:t xml:space="preserve">A methodology was developed to incorporate </w:t>
      </w:r>
      <w:r w:rsidR="00C32596">
        <w:t xml:space="preserve">the </w:t>
      </w:r>
      <w:r>
        <w:t xml:space="preserve">upstream methane emissions related to the </w:t>
      </w:r>
      <w:r w:rsidR="00C32596">
        <w:t xml:space="preserve">production </w:t>
      </w:r>
      <w:r>
        <w:t xml:space="preserve">of natural gas and coal </w:t>
      </w:r>
      <w:r w:rsidR="00C32596">
        <w:t xml:space="preserve">into </w:t>
      </w:r>
      <w:r w:rsidR="00A621BB">
        <w:t xml:space="preserve">the </w:t>
      </w:r>
      <w:r w:rsidR="00C32596">
        <w:t xml:space="preserve">planning models </w:t>
      </w:r>
      <w:r>
        <w:t>for the 2021 N</w:t>
      </w:r>
      <w:r w:rsidR="00C32596">
        <w:t>orthwest</w:t>
      </w:r>
      <w:r>
        <w:t xml:space="preserve"> Power Plan.</w:t>
      </w:r>
      <w:r w:rsidR="00C32596">
        <w:t xml:space="preserve">  </w:t>
      </w:r>
    </w:p>
    <w:p w14:paraId="40F6F889" w14:textId="452A3D27" w:rsidR="00C32596" w:rsidRDefault="00C32596" w:rsidP="006210FA">
      <w:r>
        <w:t>Traditionally, upstream methane emissions from the natural gas and oil supply system have been estimated using inventory-based models.  Over past five years, new measurement techniques have been developed to study the issue, and the related studies indicate that the inventory models may be underestimat</w:t>
      </w:r>
      <w:r w:rsidR="00A621BB">
        <w:t>ing</w:t>
      </w:r>
      <w:r>
        <w:t xml:space="preserve"> the </w:t>
      </w:r>
      <w:r w:rsidR="00A621BB">
        <w:t>amount</w:t>
      </w:r>
      <w:r>
        <w:t xml:space="preserve"> of methane that is being </w:t>
      </w:r>
      <w:r w:rsidR="00A621BB">
        <w:t>released to the atmosphere</w:t>
      </w:r>
      <w:r>
        <w:t xml:space="preserve"> upstream of </w:t>
      </w:r>
      <w:r w:rsidR="00A621BB">
        <w:t xml:space="preserve">the </w:t>
      </w:r>
      <w:r>
        <w:t>natural gas delivery points.</w:t>
      </w:r>
    </w:p>
    <w:p w14:paraId="5F82669A" w14:textId="50EFE9FF" w:rsidR="00A621BB" w:rsidRDefault="00C32596" w:rsidP="006210FA">
      <w:r>
        <w:t>This paper outlines</w:t>
      </w:r>
      <w:r w:rsidR="00A621BB">
        <w:t xml:space="preserve"> the </w:t>
      </w:r>
      <w:r>
        <w:t>results from five studies of upstream methane and presents a method to standardize the results in o</w:t>
      </w:r>
      <w:r w:rsidR="00785FC8">
        <w:t>rder</w:t>
      </w:r>
      <w:r>
        <w:t xml:space="preserve"> to calculate an estimate of the pe</w:t>
      </w:r>
      <w:r w:rsidR="00785FC8">
        <w:t>r</w:t>
      </w:r>
      <w:r>
        <w:t>cent of</w:t>
      </w:r>
      <w:r w:rsidR="00785FC8">
        <w:t xml:space="preserve"> delivered</w:t>
      </w:r>
      <w:r>
        <w:t xml:space="preserve"> meth</w:t>
      </w:r>
      <w:r w:rsidR="00785FC8">
        <w:t>ane</w:t>
      </w:r>
      <w:r>
        <w:t xml:space="preserve"> that is </w:t>
      </w:r>
      <w:r w:rsidR="00785FC8">
        <w:t>released upstream.  This release</w:t>
      </w:r>
      <w:r w:rsidR="00A621BB">
        <w:t>d</w:t>
      </w:r>
      <w:r w:rsidR="00785FC8">
        <w:t xml:space="preserve"> rate is used to </w:t>
      </w:r>
      <w:r w:rsidR="00A621BB">
        <w:t xml:space="preserve">develop </w:t>
      </w:r>
      <w:r w:rsidR="00785FC8">
        <w:t xml:space="preserve">an upstream fuel emission rate that </w:t>
      </w:r>
      <w:r w:rsidR="00A621BB">
        <w:t>can be</w:t>
      </w:r>
      <w:r w:rsidR="00785FC8">
        <w:t xml:space="preserve"> added to the combustion emission rate</w:t>
      </w:r>
      <w:r w:rsidR="00A621BB">
        <w:t xml:space="preserve"> to complete a better picture of the emissions related to natural gas (and coal)</w:t>
      </w:r>
      <w:r w:rsidR="00785FC8">
        <w:t>.</w:t>
      </w:r>
      <w:r w:rsidR="00A621BB">
        <w:t xml:space="preserve">  </w:t>
      </w:r>
      <w:r w:rsidR="00785FC8">
        <w:t xml:space="preserve">A </w:t>
      </w:r>
      <w:r w:rsidR="00A621BB">
        <w:t xml:space="preserve">specific </w:t>
      </w:r>
      <w:r w:rsidR="00785FC8">
        <w:t xml:space="preserve">emission rate for the natural gas and coal delivered to the Northwest was </w:t>
      </w:r>
      <w:r w:rsidR="00A621BB">
        <w:t xml:space="preserve">also </w:t>
      </w:r>
      <w:r w:rsidR="00785FC8">
        <w:t>developed.</w:t>
      </w:r>
    </w:p>
    <w:p w14:paraId="1EF0C01E" w14:textId="150708A1" w:rsidR="00B1436C" w:rsidRDefault="00B1436C" w:rsidP="006210FA"/>
    <w:p w14:paraId="49E2D823" w14:textId="1E8A93C7" w:rsidR="00B1436C" w:rsidRDefault="00B1436C" w:rsidP="006210FA"/>
    <w:p w14:paraId="455403B2" w14:textId="431EABAA" w:rsidR="00B1436C" w:rsidRDefault="00B1436C" w:rsidP="006210FA"/>
    <w:p w14:paraId="0AAC7719" w14:textId="77777777" w:rsidR="00B1436C" w:rsidRDefault="00B1436C" w:rsidP="006210FA">
      <w:bookmarkStart w:id="1" w:name="_GoBack"/>
      <w:bookmarkEnd w:id="1"/>
    </w:p>
    <w:p w14:paraId="1051E8B7" w14:textId="5ECC9994" w:rsidR="004657E7" w:rsidRPr="00A621BB" w:rsidRDefault="004657E7" w:rsidP="006210FA">
      <w:pPr>
        <w:rPr>
          <w:b/>
          <w:bCs/>
        </w:rPr>
      </w:pPr>
      <w:r>
        <w:rPr>
          <w:b/>
          <w:bCs/>
        </w:rPr>
        <w:lastRenderedPageBreak/>
        <w:t xml:space="preserve">Table </w:t>
      </w:r>
      <w:r w:rsidR="00FD4CC6">
        <w:rPr>
          <w:b/>
          <w:bCs/>
        </w:rPr>
        <w:t>2</w:t>
      </w:r>
      <w:r>
        <w:rPr>
          <w:b/>
          <w:bCs/>
        </w:rPr>
        <w:t>: Fuel emission rates for natural gas and coal in the Northwest</w:t>
      </w:r>
    </w:p>
    <w:tbl>
      <w:tblPr>
        <w:tblStyle w:val="TableGrid"/>
        <w:tblW w:w="0" w:type="auto"/>
        <w:tblLook w:val="04A0" w:firstRow="1" w:lastRow="0" w:firstColumn="1" w:lastColumn="0" w:noHBand="0" w:noVBand="1"/>
      </w:tblPr>
      <w:tblGrid>
        <w:gridCol w:w="1075"/>
        <w:gridCol w:w="2665"/>
        <w:gridCol w:w="1425"/>
        <w:gridCol w:w="1400"/>
        <w:gridCol w:w="900"/>
      </w:tblGrid>
      <w:tr w:rsidR="00BC6470" w14:paraId="07E100E2" w14:textId="77777777" w:rsidTr="00FD4CC6">
        <w:tc>
          <w:tcPr>
            <w:tcW w:w="3740" w:type="dxa"/>
            <w:gridSpan w:val="2"/>
            <w:shd w:val="clear" w:color="auto" w:fill="D3BF7B" w:themeFill="text2" w:themeFillShade="BF"/>
          </w:tcPr>
          <w:p w14:paraId="7133F328" w14:textId="77777777" w:rsidR="00BC6470" w:rsidRPr="0096727F" w:rsidRDefault="00BC6470" w:rsidP="0096727F">
            <w:pPr>
              <w:jc w:val="center"/>
              <w:rPr>
                <w:b/>
                <w:bCs/>
              </w:rPr>
            </w:pPr>
            <w:r w:rsidRPr="0096727F">
              <w:rPr>
                <w:b/>
                <w:bCs/>
              </w:rPr>
              <w:t>Carbon Dioxide Equivalents</w:t>
            </w:r>
          </w:p>
          <w:p w14:paraId="0FA2194D" w14:textId="7104462E" w:rsidR="00BC6470" w:rsidRPr="0096727F" w:rsidRDefault="00BC6470" w:rsidP="0096727F">
            <w:pPr>
              <w:jc w:val="center"/>
              <w:rPr>
                <w:b/>
                <w:bCs/>
              </w:rPr>
            </w:pPr>
            <w:r w:rsidRPr="0096727F">
              <w:rPr>
                <w:b/>
                <w:bCs/>
              </w:rPr>
              <w:t>lbs. CO2e/MMBtu</w:t>
            </w:r>
          </w:p>
        </w:tc>
        <w:tc>
          <w:tcPr>
            <w:tcW w:w="1425" w:type="dxa"/>
            <w:shd w:val="clear" w:color="auto" w:fill="D3BF7B" w:themeFill="text2" w:themeFillShade="BF"/>
          </w:tcPr>
          <w:p w14:paraId="58B158BE" w14:textId="0377EF00" w:rsidR="00BC6470" w:rsidRPr="0096727F" w:rsidRDefault="00BC6470" w:rsidP="0096727F">
            <w:pPr>
              <w:jc w:val="center"/>
              <w:rPr>
                <w:b/>
                <w:bCs/>
              </w:rPr>
            </w:pPr>
            <w:r w:rsidRPr="0096727F">
              <w:rPr>
                <w:b/>
                <w:bCs/>
              </w:rPr>
              <w:t>Combustion</w:t>
            </w:r>
          </w:p>
        </w:tc>
        <w:tc>
          <w:tcPr>
            <w:tcW w:w="1400" w:type="dxa"/>
            <w:shd w:val="clear" w:color="auto" w:fill="D3BF7B" w:themeFill="text2" w:themeFillShade="BF"/>
          </w:tcPr>
          <w:p w14:paraId="26A64C96" w14:textId="3D6FCBCA" w:rsidR="00BC6470" w:rsidRPr="0096727F" w:rsidRDefault="00BC6470" w:rsidP="0096727F">
            <w:pPr>
              <w:jc w:val="center"/>
              <w:rPr>
                <w:b/>
                <w:bCs/>
              </w:rPr>
            </w:pPr>
            <w:r w:rsidRPr="0096727F">
              <w:rPr>
                <w:b/>
                <w:bCs/>
              </w:rPr>
              <w:t>Upstream Methane</w:t>
            </w:r>
          </w:p>
        </w:tc>
        <w:tc>
          <w:tcPr>
            <w:tcW w:w="900" w:type="dxa"/>
            <w:shd w:val="clear" w:color="auto" w:fill="D3BF7B" w:themeFill="text2" w:themeFillShade="BF"/>
          </w:tcPr>
          <w:p w14:paraId="54D4EEFB" w14:textId="2750C668" w:rsidR="00BC6470" w:rsidRPr="0096727F" w:rsidRDefault="00BC6470" w:rsidP="0096727F">
            <w:pPr>
              <w:jc w:val="center"/>
              <w:rPr>
                <w:b/>
                <w:bCs/>
              </w:rPr>
            </w:pPr>
            <w:r w:rsidRPr="0096727F">
              <w:rPr>
                <w:b/>
                <w:bCs/>
              </w:rPr>
              <w:t>Total</w:t>
            </w:r>
          </w:p>
        </w:tc>
      </w:tr>
      <w:tr w:rsidR="00BC6470" w14:paraId="05F7F6C4" w14:textId="77777777" w:rsidTr="0096727F">
        <w:tc>
          <w:tcPr>
            <w:tcW w:w="1075" w:type="dxa"/>
          </w:tcPr>
          <w:p w14:paraId="5DEB8E94" w14:textId="0CE3F45D" w:rsidR="00BC6470" w:rsidRDefault="00BC6470" w:rsidP="0096727F">
            <w:pPr>
              <w:jc w:val="center"/>
            </w:pPr>
            <w:r>
              <w:t>Natural Gas</w:t>
            </w:r>
          </w:p>
        </w:tc>
        <w:tc>
          <w:tcPr>
            <w:tcW w:w="2665" w:type="dxa"/>
          </w:tcPr>
          <w:p w14:paraId="30C9B19D" w14:textId="356856D6" w:rsidR="00BC6470" w:rsidRDefault="00BC6470" w:rsidP="0096727F">
            <w:pPr>
              <w:jc w:val="center"/>
            </w:pPr>
            <w:r>
              <w:t xml:space="preserve">Upstream methane release rate </w:t>
            </w:r>
            <w:r w:rsidRPr="00C221DA">
              <w:rPr>
                <w:i/>
                <w:iCs/>
              </w:rPr>
              <w:t>L</w:t>
            </w:r>
            <w:r w:rsidRPr="00C221DA">
              <w:rPr>
                <w:i/>
                <w:iCs/>
                <w:vertAlign w:val="subscript"/>
              </w:rPr>
              <w:t>d</w:t>
            </w:r>
            <w:r>
              <w:t xml:space="preserve"> = 1.37%</w:t>
            </w:r>
          </w:p>
        </w:tc>
        <w:tc>
          <w:tcPr>
            <w:tcW w:w="1425" w:type="dxa"/>
          </w:tcPr>
          <w:p w14:paraId="44AF9273" w14:textId="105CDE83" w:rsidR="00BC6470" w:rsidRDefault="0096727F" w:rsidP="0096727F">
            <w:pPr>
              <w:jc w:val="center"/>
            </w:pPr>
            <w:r>
              <w:t>118</w:t>
            </w:r>
          </w:p>
        </w:tc>
        <w:tc>
          <w:tcPr>
            <w:tcW w:w="1400" w:type="dxa"/>
          </w:tcPr>
          <w:p w14:paraId="1E922B62" w14:textId="7F9319F8" w:rsidR="00BC6470" w:rsidRDefault="0096727F" w:rsidP="0096727F">
            <w:pPr>
              <w:jc w:val="center"/>
            </w:pPr>
            <w:r>
              <w:t>18.4</w:t>
            </w:r>
          </w:p>
        </w:tc>
        <w:tc>
          <w:tcPr>
            <w:tcW w:w="900" w:type="dxa"/>
          </w:tcPr>
          <w:p w14:paraId="68970DC4" w14:textId="29B4936B" w:rsidR="00BC6470" w:rsidRDefault="0096727F" w:rsidP="0096727F">
            <w:pPr>
              <w:jc w:val="center"/>
            </w:pPr>
            <w:r>
              <w:t>136</w:t>
            </w:r>
          </w:p>
        </w:tc>
      </w:tr>
      <w:tr w:rsidR="00BC6470" w14:paraId="038AA4CC" w14:textId="77777777" w:rsidTr="0096727F">
        <w:tc>
          <w:tcPr>
            <w:tcW w:w="1075" w:type="dxa"/>
          </w:tcPr>
          <w:p w14:paraId="14C27986" w14:textId="5A6FA734" w:rsidR="00BC6470" w:rsidRDefault="00BC6470" w:rsidP="0096727F">
            <w:pPr>
              <w:jc w:val="center"/>
            </w:pPr>
            <w:r>
              <w:t>Coal</w:t>
            </w:r>
          </w:p>
        </w:tc>
        <w:tc>
          <w:tcPr>
            <w:tcW w:w="2665" w:type="dxa"/>
          </w:tcPr>
          <w:p w14:paraId="03BCC5A0" w14:textId="096D3009" w:rsidR="00BC6470" w:rsidRDefault="00A621BB" w:rsidP="0096727F">
            <w:pPr>
              <w:jc w:val="center"/>
            </w:pPr>
            <w:r>
              <w:t>Surface m</w:t>
            </w:r>
            <w:r w:rsidR="0096727F">
              <w:t>ining methane emission rate of 38.7 scf. CH</w:t>
            </w:r>
            <w:r w:rsidR="0096727F" w:rsidRPr="00BA1B95">
              <w:rPr>
                <w:vertAlign w:val="subscript"/>
              </w:rPr>
              <w:t>4</w:t>
            </w:r>
            <w:r w:rsidR="0096727F">
              <w:t xml:space="preserve"> per ton of coal</w:t>
            </w:r>
          </w:p>
        </w:tc>
        <w:tc>
          <w:tcPr>
            <w:tcW w:w="1425" w:type="dxa"/>
          </w:tcPr>
          <w:p w14:paraId="7BF64A96" w14:textId="684EC165" w:rsidR="00BC6470" w:rsidRDefault="0096727F" w:rsidP="0096727F">
            <w:pPr>
              <w:jc w:val="center"/>
            </w:pPr>
            <w:r>
              <w:t>216</w:t>
            </w:r>
          </w:p>
        </w:tc>
        <w:tc>
          <w:tcPr>
            <w:tcW w:w="1400" w:type="dxa"/>
          </w:tcPr>
          <w:p w14:paraId="329856ED" w14:textId="07AC686F" w:rsidR="00BC6470" w:rsidRDefault="0096727F" w:rsidP="0096727F">
            <w:pPr>
              <w:jc w:val="center"/>
            </w:pPr>
            <w:r>
              <w:t>3.5</w:t>
            </w:r>
          </w:p>
        </w:tc>
        <w:tc>
          <w:tcPr>
            <w:tcW w:w="900" w:type="dxa"/>
          </w:tcPr>
          <w:p w14:paraId="194B9472" w14:textId="5552C191" w:rsidR="00BC6470" w:rsidRDefault="0096727F" w:rsidP="0096727F">
            <w:pPr>
              <w:jc w:val="center"/>
            </w:pPr>
            <w:r>
              <w:t>219</w:t>
            </w:r>
          </w:p>
        </w:tc>
      </w:tr>
    </w:tbl>
    <w:p w14:paraId="7312D222" w14:textId="3CD871CE" w:rsidR="00C32596" w:rsidRPr="00C32596" w:rsidRDefault="0044306A" w:rsidP="00A621BB">
      <w:pPr>
        <w:pStyle w:val="Heading1"/>
      </w:pPr>
      <w:bookmarkStart w:id="2" w:name="_Toc43052731"/>
      <w:r>
        <w:t>Introduction</w:t>
      </w:r>
      <w:bookmarkEnd w:id="2"/>
    </w:p>
    <w:p w14:paraId="2C13CF58" w14:textId="53B7D059" w:rsidR="0044306A" w:rsidRPr="0026006E" w:rsidRDefault="0044306A" w:rsidP="0044306A">
      <w:r>
        <w:t>Natural gas has been undercutting coal as a fuel for electricity generation for some time now.  With technological advances in shale oil and gas extraction - fracking and horizontal drilling – gas has become cheaper than coal and emits less CO</w:t>
      </w:r>
      <w:r w:rsidRPr="0058414C">
        <w:rPr>
          <w:vertAlign w:val="subscript"/>
        </w:rPr>
        <w:t>2</w:t>
      </w:r>
      <w:r>
        <w:t xml:space="preserve"> when burned to generate electricity.</w:t>
      </w:r>
      <w:r w:rsidRPr="00AF3D30">
        <w:t xml:space="preserve"> </w:t>
      </w:r>
      <w:r>
        <w:t>Energy efficiency, wind, solar and natural gas</w:t>
      </w:r>
      <w:r w:rsidR="00D73C12">
        <w:t xml:space="preserve"> all</w:t>
      </w:r>
      <w:r>
        <w:t xml:space="preserve"> have</w:t>
      </w:r>
      <w:r w:rsidRPr="0026006E">
        <w:t xml:space="preserve"> displac</w:t>
      </w:r>
      <w:r>
        <w:t>ed</w:t>
      </w:r>
      <w:r w:rsidR="00A621BB">
        <w:t xml:space="preserve"> </w:t>
      </w:r>
      <w:r w:rsidR="00FD7BC2">
        <w:t xml:space="preserve">generation from </w:t>
      </w:r>
      <w:r w:rsidRPr="0026006E">
        <w:t>coal,</w:t>
      </w:r>
      <w:r>
        <w:t xml:space="preserve"> </w:t>
      </w:r>
      <w:r w:rsidRPr="0026006E">
        <w:t>le</w:t>
      </w:r>
      <w:r>
        <w:t>a</w:t>
      </w:r>
      <w:r w:rsidRPr="0026006E">
        <w:t>d</w:t>
      </w:r>
      <w:r>
        <w:t>ing</w:t>
      </w:r>
      <w:r w:rsidRPr="0026006E">
        <w:t xml:space="preserve"> to a cleaner electrical grid in terms of CO</w:t>
      </w:r>
      <w:r w:rsidRPr="0026006E">
        <w:rPr>
          <w:vertAlign w:val="subscript"/>
        </w:rPr>
        <w:t>2</w:t>
      </w:r>
      <w:r w:rsidRPr="0026006E">
        <w:t xml:space="preserve"> emissions. </w:t>
      </w:r>
      <w:r>
        <w:t xml:space="preserve">Natural gas </w:t>
      </w:r>
      <w:r w:rsidRPr="0026006E">
        <w:t xml:space="preserve">also plays a key role </w:t>
      </w:r>
      <w:r w:rsidR="00062F9F">
        <w:t>in</w:t>
      </w:r>
      <w:r w:rsidRPr="0026006E">
        <w:t xml:space="preserve"> the region </w:t>
      </w:r>
      <w:r w:rsidR="00062F9F">
        <w:t>with</w:t>
      </w:r>
      <w:r w:rsidRPr="0026006E">
        <w:t xml:space="preserve"> heating homes and businesses as an end-use fuel. </w:t>
      </w:r>
    </w:p>
    <w:p w14:paraId="0ACDE971" w14:textId="72F72B99" w:rsidR="0044306A" w:rsidRDefault="0044306A" w:rsidP="0044306A">
      <w:r w:rsidRPr="0026006E">
        <w:t>However, the primary component of natural gas is methane (CH</w:t>
      </w:r>
      <w:r w:rsidRPr="0026006E">
        <w:rPr>
          <w:vertAlign w:val="subscript"/>
        </w:rPr>
        <w:t>4</w:t>
      </w:r>
      <w:r w:rsidRPr="0026006E">
        <w:t>) which, pound for pound, has 34 times the global warming impact as CO</w:t>
      </w:r>
      <w:r w:rsidRPr="0026006E">
        <w:rPr>
          <w:vertAlign w:val="subscript"/>
        </w:rPr>
        <w:t>2</w:t>
      </w:r>
      <w:r w:rsidRPr="0026006E">
        <w:t xml:space="preserve"> over 100 years</w:t>
      </w:r>
      <w:r>
        <w:t>, and 86 times over 20 years.</w:t>
      </w:r>
      <w:r w:rsidRPr="0026006E">
        <w:t xml:space="preserve"> </w:t>
      </w:r>
      <w:r>
        <w:t>M</w:t>
      </w:r>
      <w:r w:rsidRPr="0026006E">
        <w:t xml:space="preserve">ethane that </w:t>
      </w:r>
      <w:r>
        <w:t xml:space="preserve">is released </w:t>
      </w:r>
      <w:r w:rsidRPr="0026006E">
        <w:t xml:space="preserve">directly into the atmosphere is a big deal. The </w:t>
      </w:r>
      <w:r>
        <w:t xml:space="preserve">oil and </w:t>
      </w:r>
      <w:r w:rsidRPr="0026006E">
        <w:t xml:space="preserve">natural gas supply chain </w:t>
      </w:r>
      <w:r>
        <w:t>that we</w:t>
      </w:r>
      <w:r w:rsidRPr="0026006E">
        <w:t xml:space="preserve"> rely on </w:t>
      </w:r>
      <w:r w:rsidR="00FD7BC2">
        <w:t xml:space="preserve">to deliver </w:t>
      </w:r>
      <w:r w:rsidR="00ED38A4">
        <w:t>the</w:t>
      </w:r>
      <w:r w:rsidR="00FD7BC2">
        <w:t xml:space="preserve"> gas </w:t>
      </w:r>
      <w:r w:rsidR="00ED38A4">
        <w:t xml:space="preserve">from many hundreds of miles away to our homes, businesses, and power plants </w:t>
      </w:r>
      <w:r>
        <w:t>emits</w:t>
      </w:r>
      <w:r w:rsidRPr="0026006E">
        <w:t xml:space="preserve"> methane </w:t>
      </w:r>
      <w:r w:rsidR="00FD7BC2">
        <w:t>along the</w:t>
      </w:r>
      <w:r w:rsidR="00ED38A4">
        <w:t xml:space="preserve"> way.</w:t>
      </w:r>
    </w:p>
    <w:p w14:paraId="3D6EE4E7" w14:textId="42BB8830" w:rsidR="006610D9" w:rsidRDefault="006610D9" w:rsidP="0044306A">
      <w:r>
        <w:t>The global atmospheric concentration level of methane has been increasing at an alarmingly rapid pace since 2007.  The National Oceanic and Atmospheric Administration (NOAA) tracks methane levels in the atmosphere</w:t>
      </w:r>
      <w:r w:rsidR="00A621BB">
        <w:t>.</w:t>
      </w:r>
      <w:r w:rsidR="0054673A">
        <w:rPr>
          <w:rStyle w:val="FootnoteReference"/>
        </w:rPr>
        <w:footnoteReference w:id="1"/>
      </w:r>
      <w:r w:rsidR="00A621BB">
        <w:t xml:space="preserve">  T</w:t>
      </w:r>
      <w:r>
        <w:t xml:space="preserve">he most recent numbers show that </w:t>
      </w:r>
      <w:r w:rsidR="0054673A">
        <w:t>methane levels jumped significantly in 2019, indicating the methane problem is getting worse.</w:t>
      </w:r>
      <w:r>
        <w:t xml:space="preserve"> </w:t>
      </w:r>
      <w:r w:rsidR="0054673A">
        <w:t xml:space="preserve">It’s not clear what all the causes are, but oil and natural gas activities contribute a significant portion of the </w:t>
      </w:r>
      <w:r w:rsidR="00A621BB">
        <w:t xml:space="preserve">overall </w:t>
      </w:r>
      <w:r w:rsidR="0054673A">
        <w:t>global methane emissions.</w:t>
      </w:r>
    </w:p>
    <w:p w14:paraId="71E4C11F" w14:textId="2F877F76" w:rsidR="00CB03EB" w:rsidRDefault="001A3732" w:rsidP="0044306A">
      <w:r>
        <w:t>The E</w:t>
      </w:r>
      <w:r w:rsidR="00681564">
        <w:t xml:space="preserve">nvironmental </w:t>
      </w:r>
      <w:r>
        <w:t>P</w:t>
      </w:r>
      <w:r w:rsidR="00681564">
        <w:t xml:space="preserve">rotection </w:t>
      </w:r>
      <w:r>
        <w:t>A</w:t>
      </w:r>
      <w:r w:rsidR="00681564">
        <w:t>gency (EPA)</w:t>
      </w:r>
      <w:r>
        <w:t xml:space="preserve"> reports an annual estimate of methane emissions from oil and natural</w:t>
      </w:r>
      <w:r w:rsidR="00945423">
        <w:t xml:space="preserve"> gas</w:t>
      </w:r>
      <w:r>
        <w:t xml:space="preserve"> activities </w:t>
      </w:r>
      <w:r w:rsidR="00945423">
        <w:t>in</w:t>
      </w:r>
      <w:r>
        <w:t xml:space="preserve"> the US.</w:t>
      </w:r>
      <w:r w:rsidR="003F4683">
        <w:t xml:space="preserve">  Th</w:t>
      </w:r>
      <w:r w:rsidR="00A621BB">
        <w:t>e EPA</w:t>
      </w:r>
      <w:r w:rsidR="003F4683">
        <w:t xml:space="preserve"> </w:t>
      </w:r>
      <w:r w:rsidR="00945423">
        <w:t xml:space="preserve">use </w:t>
      </w:r>
      <w:r w:rsidR="003F4683">
        <w:t xml:space="preserve">a bottoms-up inventory method which sums up the </w:t>
      </w:r>
      <w:r w:rsidR="00945423">
        <w:t>potential</w:t>
      </w:r>
      <w:r w:rsidR="003F4683">
        <w:t xml:space="preserve"> emissions </w:t>
      </w:r>
      <w:r w:rsidR="00945423">
        <w:t xml:space="preserve">throughout the supply chain </w:t>
      </w:r>
      <w:r w:rsidR="003F4683">
        <w:t xml:space="preserve">from equipment operating as </w:t>
      </w:r>
      <w:r w:rsidR="00945423">
        <w:t>designed</w:t>
      </w:r>
      <w:r w:rsidR="003F4683">
        <w:t xml:space="preserve">.  However, recent studies </w:t>
      </w:r>
      <w:r w:rsidR="00A375D1">
        <w:t>by</w:t>
      </w:r>
      <w:r w:rsidR="003F4683">
        <w:t xml:space="preserve"> research institutions </w:t>
      </w:r>
      <w:r w:rsidR="00A375D1">
        <w:t>and coordinated by the Environmental Defense Fund (EDF)</w:t>
      </w:r>
      <w:r w:rsidR="002B5873">
        <w:rPr>
          <w:rStyle w:val="FootnoteReference"/>
        </w:rPr>
        <w:footnoteReference w:id="2"/>
      </w:r>
      <w:r w:rsidR="00060641">
        <w:t xml:space="preserve"> </w:t>
      </w:r>
      <w:r w:rsidR="003F4683">
        <w:t>have</w:t>
      </w:r>
      <w:r w:rsidR="00A375D1">
        <w:t xml:space="preserve"> </w:t>
      </w:r>
      <w:r w:rsidR="00945423">
        <w:t>found actual</w:t>
      </w:r>
      <w:r w:rsidR="00A375D1">
        <w:t xml:space="preserve"> </w:t>
      </w:r>
      <w:r w:rsidR="00565BD4">
        <w:t>methane releases</w:t>
      </w:r>
      <w:r w:rsidR="00945423">
        <w:t xml:space="preserve"> from the oil and gas system in the US</w:t>
      </w:r>
      <w:r w:rsidR="00565BD4">
        <w:t xml:space="preserve"> to be significantly higher.  </w:t>
      </w:r>
      <w:r w:rsidR="003F4683">
        <w:t xml:space="preserve"> </w:t>
      </w:r>
      <w:r w:rsidR="00945423">
        <w:t>In addition, a recent</w:t>
      </w:r>
      <w:r w:rsidR="00985C19">
        <w:t>ly published</w:t>
      </w:r>
      <w:r w:rsidR="00945423">
        <w:t xml:space="preserve"> study </w:t>
      </w:r>
      <w:r w:rsidR="00985C19">
        <w:t xml:space="preserve">in Nature </w:t>
      </w:r>
      <w:r w:rsidR="00945423">
        <w:t>suggest</w:t>
      </w:r>
      <w:r w:rsidR="00985C19">
        <w:t>s</w:t>
      </w:r>
      <w:r w:rsidR="00945423">
        <w:t xml:space="preserve"> global</w:t>
      </w:r>
      <w:r w:rsidR="00337756">
        <w:t xml:space="preserve">-wide </w:t>
      </w:r>
      <w:r w:rsidR="00945423">
        <w:t xml:space="preserve">fossil </w:t>
      </w:r>
      <w:r w:rsidR="00337756">
        <w:t xml:space="preserve">related </w:t>
      </w:r>
      <w:r w:rsidR="00945423">
        <w:t>methane emissions</w:t>
      </w:r>
      <w:r w:rsidR="00985C19">
        <w:t xml:space="preserve"> are higher than </w:t>
      </w:r>
      <w:r w:rsidR="000709CD">
        <w:t xml:space="preserve">the </w:t>
      </w:r>
      <w:r w:rsidR="00985C19">
        <w:t>bottoms-up inventory methods indicate</w:t>
      </w:r>
      <w:r w:rsidR="00337756">
        <w:t>.</w:t>
      </w:r>
      <w:r w:rsidR="00945423">
        <w:t xml:space="preserve"> </w:t>
      </w:r>
    </w:p>
    <w:p w14:paraId="486F9607" w14:textId="4906094D" w:rsidR="0044306A" w:rsidRDefault="0044306A" w:rsidP="00F13774">
      <w:r>
        <w:t xml:space="preserve">In our current power planning models, fuel emission rates for natural gas and coal plants are based on emissions at the point of electricity generation and do not account for upstream emissions. </w:t>
      </w:r>
      <w:r w:rsidR="00C4266A">
        <w:t xml:space="preserve">The method </w:t>
      </w:r>
      <w:r w:rsidR="006A496C">
        <w:t xml:space="preserve">outlined in this report combines an emission rate derived from estimated upstream methane releases </w:t>
      </w:r>
      <w:r w:rsidR="00251274">
        <w:t xml:space="preserve">with established combustion related emission rates – to produce an overall fuel emission rate based on delivered fuel.  </w:t>
      </w:r>
    </w:p>
    <w:p w14:paraId="23178E10" w14:textId="3F26455E" w:rsidR="00BC1759" w:rsidRDefault="00060641" w:rsidP="00251274">
      <w:r>
        <w:lastRenderedPageBreak/>
        <w:t>For emission</w:t>
      </w:r>
      <w:r w:rsidR="00DB4936">
        <w:t xml:space="preserve">s at the point of </w:t>
      </w:r>
      <w:r>
        <w:t>combustion, t</w:t>
      </w:r>
      <w:r w:rsidR="00251274">
        <w:t>he EPA publishes greenhouse gas (GHG)</w:t>
      </w:r>
      <w:r>
        <w:t xml:space="preserve"> </w:t>
      </w:r>
      <w:r w:rsidR="00251274">
        <w:t>rates for coal</w:t>
      </w:r>
      <w:r w:rsidR="007D4739">
        <w:t xml:space="preserve"> and natural gas</w:t>
      </w:r>
      <w:r w:rsidR="00251274">
        <w:t xml:space="preserve"> power plants</w:t>
      </w:r>
      <w:r w:rsidR="007D4739">
        <w:rPr>
          <w:rStyle w:val="FootnoteReference"/>
        </w:rPr>
        <w:footnoteReference w:id="3"/>
      </w:r>
      <w:r w:rsidR="00251274">
        <w:t>. These rates are expressed in terms of pounds of GHG per MMBtu of fuel consumed</w:t>
      </w:r>
      <w:r w:rsidR="00BC1759">
        <w:t xml:space="preserve"> shown in Table </w:t>
      </w:r>
      <w:r w:rsidR="009F13C8">
        <w:t>2</w:t>
      </w:r>
      <w:r w:rsidR="00BC1759">
        <w:t>.</w:t>
      </w:r>
    </w:p>
    <w:p w14:paraId="07CA3BB2" w14:textId="211D1287" w:rsidR="00251274" w:rsidRDefault="00CE1A70" w:rsidP="00251274">
      <w:r>
        <w:t>The emission rates for each gas are converted to CO</w:t>
      </w:r>
      <w:r w:rsidRPr="00CE1A70">
        <w:rPr>
          <w:vertAlign w:val="subscript"/>
        </w:rPr>
        <w:t>2</w:t>
      </w:r>
      <w:r>
        <w:t xml:space="preserve"> equivalents (CO</w:t>
      </w:r>
      <w:r w:rsidRPr="00CE1A70">
        <w:rPr>
          <w:vertAlign w:val="subscript"/>
        </w:rPr>
        <w:t>2</w:t>
      </w:r>
      <w:r>
        <w:t xml:space="preserve">e) using the values from </w:t>
      </w:r>
      <w:r w:rsidR="00DB4936">
        <w:t xml:space="preserve">the </w:t>
      </w:r>
      <w:r>
        <w:t>5</w:t>
      </w:r>
      <w:r w:rsidRPr="00AA5064">
        <w:rPr>
          <w:vertAlign w:val="superscript"/>
        </w:rPr>
        <w:t>th</w:t>
      </w:r>
      <w:r>
        <w:t xml:space="preserve"> Assessment of the IPCC Intergovernmental Panel on Climate Change</w:t>
      </w:r>
      <w:r w:rsidR="006E7835">
        <w:rPr>
          <w:rStyle w:val="FootnoteReference"/>
        </w:rPr>
        <w:footnoteReference w:id="4"/>
      </w:r>
      <w:r>
        <w:t xml:space="preserve"> shown in Table </w:t>
      </w:r>
      <w:r w:rsidR="009F13C8">
        <w:t>3</w:t>
      </w:r>
      <w:r>
        <w:t>.</w:t>
      </w:r>
    </w:p>
    <w:p w14:paraId="222AB359" w14:textId="1A372C2D" w:rsidR="007D4739" w:rsidRPr="006E2F74" w:rsidRDefault="007D4739" w:rsidP="007D4739">
      <w:pPr>
        <w:rPr>
          <w:b/>
        </w:rPr>
      </w:pPr>
      <w:r w:rsidRPr="006E2F74">
        <w:rPr>
          <w:b/>
        </w:rPr>
        <w:t xml:space="preserve">Table </w:t>
      </w:r>
      <w:r w:rsidR="00FD4CC6">
        <w:rPr>
          <w:b/>
        </w:rPr>
        <w:t>2</w:t>
      </w:r>
      <w:r w:rsidRPr="006E2F74">
        <w:rPr>
          <w:b/>
        </w:rPr>
        <w:t xml:space="preserve">: Emission </w:t>
      </w:r>
      <w:r w:rsidR="00FD4CC6">
        <w:rPr>
          <w:b/>
        </w:rPr>
        <w:t>r</w:t>
      </w:r>
      <w:r>
        <w:rPr>
          <w:b/>
        </w:rPr>
        <w:t>ates</w:t>
      </w:r>
      <w:r w:rsidR="00FD4CC6">
        <w:rPr>
          <w:b/>
        </w:rPr>
        <w:t xml:space="preserve"> - f</w:t>
      </w:r>
      <w:r>
        <w:rPr>
          <w:b/>
        </w:rPr>
        <w:t xml:space="preserve">uel </w:t>
      </w:r>
      <w:r w:rsidR="00FD4CC6">
        <w:rPr>
          <w:b/>
        </w:rPr>
        <w:t>c</w:t>
      </w:r>
      <w:r>
        <w:rPr>
          <w:b/>
        </w:rPr>
        <w:t>ombustion</w:t>
      </w:r>
    </w:p>
    <w:tbl>
      <w:tblPr>
        <w:tblStyle w:val="TableGrid"/>
        <w:tblW w:w="0" w:type="auto"/>
        <w:tblLook w:val="04A0" w:firstRow="1" w:lastRow="0" w:firstColumn="1" w:lastColumn="0" w:noHBand="0" w:noVBand="1"/>
      </w:tblPr>
      <w:tblGrid>
        <w:gridCol w:w="1313"/>
        <w:gridCol w:w="1380"/>
        <w:gridCol w:w="1469"/>
        <w:gridCol w:w="2160"/>
      </w:tblGrid>
      <w:tr w:rsidR="007D4739" w:rsidRPr="001C25D3" w14:paraId="17B08033" w14:textId="77777777" w:rsidTr="00FD4CC6">
        <w:tc>
          <w:tcPr>
            <w:tcW w:w="1313" w:type="dxa"/>
            <w:shd w:val="clear" w:color="auto" w:fill="D3BF7B" w:themeFill="text2" w:themeFillShade="BF"/>
          </w:tcPr>
          <w:p w14:paraId="5B2F21DA" w14:textId="77777777" w:rsidR="007D4739" w:rsidRPr="00FD4CC6" w:rsidRDefault="007D4739" w:rsidP="00D93F3C">
            <w:pPr>
              <w:rPr>
                <w:b/>
                <w:bCs/>
              </w:rPr>
            </w:pPr>
            <w:r w:rsidRPr="00FD4CC6">
              <w:rPr>
                <w:b/>
                <w:bCs/>
              </w:rPr>
              <w:t>GHG</w:t>
            </w:r>
          </w:p>
        </w:tc>
        <w:tc>
          <w:tcPr>
            <w:tcW w:w="1353" w:type="dxa"/>
            <w:shd w:val="clear" w:color="auto" w:fill="D3BF7B" w:themeFill="text2" w:themeFillShade="BF"/>
          </w:tcPr>
          <w:p w14:paraId="3A329973" w14:textId="77777777" w:rsidR="007D4739" w:rsidRPr="00FD4CC6" w:rsidRDefault="007D4739" w:rsidP="00D93F3C">
            <w:pPr>
              <w:rPr>
                <w:b/>
                <w:bCs/>
              </w:rPr>
            </w:pPr>
            <w:r w:rsidRPr="00FD4CC6">
              <w:rPr>
                <w:b/>
                <w:bCs/>
              </w:rPr>
              <w:t>Units</w:t>
            </w:r>
          </w:p>
        </w:tc>
        <w:tc>
          <w:tcPr>
            <w:tcW w:w="1469" w:type="dxa"/>
            <w:shd w:val="clear" w:color="auto" w:fill="D3BF7B" w:themeFill="text2" w:themeFillShade="BF"/>
          </w:tcPr>
          <w:p w14:paraId="4235AC7D" w14:textId="77777777" w:rsidR="007D4739" w:rsidRPr="00FD4CC6" w:rsidRDefault="007D4739" w:rsidP="00D93F3C">
            <w:pPr>
              <w:rPr>
                <w:b/>
                <w:bCs/>
              </w:rPr>
            </w:pPr>
            <w:r w:rsidRPr="00FD4CC6">
              <w:rPr>
                <w:b/>
                <w:bCs/>
              </w:rPr>
              <w:t>Natural Gas</w:t>
            </w:r>
          </w:p>
        </w:tc>
        <w:tc>
          <w:tcPr>
            <w:tcW w:w="2160" w:type="dxa"/>
            <w:shd w:val="clear" w:color="auto" w:fill="D3BF7B" w:themeFill="text2" w:themeFillShade="BF"/>
          </w:tcPr>
          <w:p w14:paraId="20271DD7" w14:textId="77777777" w:rsidR="007D4739" w:rsidRPr="00FD4CC6" w:rsidRDefault="007D4739" w:rsidP="00D93F3C">
            <w:pPr>
              <w:rPr>
                <w:b/>
                <w:bCs/>
              </w:rPr>
            </w:pPr>
            <w:r w:rsidRPr="00FD4CC6">
              <w:rPr>
                <w:b/>
                <w:bCs/>
              </w:rPr>
              <w:t>Coal (sub-bit)</w:t>
            </w:r>
          </w:p>
        </w:tc>
      </w:tr>
      <w:tr w:rsidR="007D4739" w:rsidRPr="001C25D3" w14:paraId="4985D172" w14:textId="77777777" w:rsidTr="00D93F3C">
        <w:tc>
          <w:tcPr>
            <w:tcW w:w="1313" w:type="dxa"/>
          </w:tcPr>
          <w:p w14:paraId="6932D5C1" w14:textId="77777777" w:rsidR="007D4739" w:rsidRPr="001C25D3" w:rsidRDefault="007D4739" w:rsidP="00D93F3C">
            <w:r w:rsidRPr="001C25D3">
              <w:t>CO</w:t>
            </w:r>
            <w:r w:rsidRPr="001C25D3">
              <w:rPr>
                <w:vertAlign w:val="subscript"/>
              </w:rPr>
              <w:t>2</w:t>
            </w:r>
            <w:r w:rsidRPr="001C25D3">
              <w:t xml:space="preserve"> </w:t>
            </w:r>
          </w:p>
        </w:tc>
        <w:tc>
          <w:tcPr>
            <w:tcW w:w="1353" w:type="dxa"/>
          </w:tcPr>
          <w:p w14:paraId="5E3F33EA" w14:textId="77777777" w:rsidR="007D4739" w:rsidRPr="001C25D3" w:rsidRDefault="007D4739" w:rsidP="00D93F3C">
            <w:r w:rsidRPr="001C25D3">
              <w:t>Ton/MMBtu</w:t>
            </w:r>
          </w:p>
        </w:tc>
        <w:tc>
          <w:tcPr>
            <w:tcW w:w="1469" w:type="dxa"/>
          </w:tcPr>
          <w:p w14:paraId="39B779F1" w14:textId="77777777" w:rsidR="007D4739" w:rsidRPr="001C25D3" w:rsidRDefault="007D4739" w:rsidP="00D93F3C">
            <w:r w:rsidRPr="001C25D3">
              <w:t>0.05844</w:t>
            </w:r>
          </w:p>
        </w:tc>
        <w:tc>
          <w:tcPr>
            <w:tcW w:w="2160" w:type="dxa"/>
          </w:tcPr>
          <w:p w14:paraId="4ECDD589" w14:textId="77777777" w:rsidR="007D4739" w:rsidRPr="001C25D3" w:rsidRDefault="007D4739" w:rsidP="00D93F3C">
            <w:r w:rsidRPr="001C25D3">
              <w:t>0.10695</w:t>
            </w:r>
          </w:p>
        </w:tc>
      </w:tr>
      <w:tr w:rsidR="007D4739" w:rsidRPr="001C25D3" w14:paraId="0A3B6EE8" w14:textId="77777777" w:rsidTr="00D93F3C">
        <w:tc>
          <w:tcPr>
            <w:tcW w:w="1313" w:type="dxa"/>
          </w:tcPr>
          <w:p w14:paraId="2DC0D2BD" w14:textId="77777777" w:rsidR="007D4739" w:rsidRPr="001C25D3" w:rsidRDefault="007D4739" w:rsidP="00D93F3C">
            <w:r w:rsidRPr="001C25D3">
              <w:t>CH</w:t>
            </w:r>
            <w:r w:rsidRPr="001C25D3">
              <w:rPr>
                <w:vertAlign w:val="subscript"/>
              </w:rPr>
              <w:t>4</w:t>
            </w:r>
          </w:p>
        </w:tc>
        <w:tc>
          <w:tcPr>
            <w:tcW w:w="1353" w:type="dxa"/>
          </w:tcPr>
          <w:p w14:paraId="59616BB5" w14:textId="77777777" w:rsidR="007D4739" w:rsidRPr="001C25D3" w:rsidRDefault="007D4739" w:rsidP="00D93F3C">
            <w:r w:rsidRPr="001C25D3">
              <w:t>Lbs</w:t>
            </w:r>
            <w:r>
              <w:t>.</w:t>
            </w:r>
            <w:r w:rsidRPr="001C25D3">
              <w:t>/MMBtu</w:t>
            </w:r>
          </w:p>
        </w:tc>
        <w:tc>
          <w:tcPr>
            <w:tcW w:w="1469" w:type="dxa"/>
          </w:tcPr>
          <w:p w14:paraId="096DF0CC" w14:textId="77777777" w:rsidR="007D4739" w:rsidRPr="001C25D3" w:rsidRDefault="007D4739" w:rsidP="00D93F3C">
            <w:r w:rsidRPr="001C25D3">
              <w:t>0.0022</w:t>
            </w:r>
          </w:p>
        </w:tc>
        <w:tc>
          <w:tcPr>
            <w:tcW w:w="2160" w:type="dxa"/>
          </w:tcPr>
          <w:p w14:paraId="59BB871E" w14:textId="77777777" w:rsidR="007D4739" w:rsidRPr="001C25D3" w:rsidRDefault="007D4739" w:rsidP="00D93F3C">
            <w:r w:rsidRPr="001C25D3">
              <w:t>0.02425</w:t>
            </w:r>
          </w:p>
        </w:tc>
      </w:tr>
      <w:tr w:rsidR="007D4739" w:rsidRPr="001C25D3" w14:paraId="5E911393" w14:textId="77777777" w:rsidTr="00D93F3C">
        <w:tc>
          <w:tcPr>
            <w:tcW w:w="1313" w:type="dxa"/>
          </w:tcPr>
          <w:p w14:paraId="251A6810" w14:textId="77777777" w:rsidR="007D4739" w:rsidRPr="001C25D3" w:rsidRDefault="007D4739" w:rsidP="00D93F3C">
            <w:r w:rsidRPr="001C25D3">
              <w:t>N</w:t>
            </w:r>
            <w:r w:rsidRPr="001C25D3">
              <w:rPr>
                <w:vertAlign w:val="subscript"/>
              </w:rPr>
              <w:t>2</w:t>
            </w:r>
            <w:r w:rsidRPr="001C25D3">
              <w:t>O</w:t>
            </w:r>
          </w:p>
        </w:tc>
        <w:tc>
          <w:tcPr>
            <w:tcW w:w="1353" w:type="dxa"/>
          </w:tcPr>
          <w:p w14:paraId="011706FB" w14:textId="77777777" w:rsidR="007D4739" w:rsidRPr="001C25D3" w:rsidRDefault="007D4739" w:rsidP="00D93F3C">
            <w:r w:rsidRPr="001C25D3">
              <w:t>Lbs</w:t>
            </w:r>
            <w:r>
              <w:t>.</w:t>
            </w:r>
            <w:r w:rsidRPr="001C25D3">
              <w:t>/MMBtu</w:t>
            </w:r>
          </w:p>
        </w:tc>
        <w:tc>
          <w:tcPr>
            <w:tcW w:w="1469" w:type="dxa"/>
          </w:tcPr>
          <w:p w14:paraId="6B738480" w14:textId="77777777" w:rsidR="007D4739" w:rsidRPr="001C25D3" w:rsidRDefault="007D4739" w:rsidP="00D93F3C">
            <w:r w:rsidRPr="001C25D3">
              <w:t>0.0022</w:t>
            </w:r>
          </w:p>
        </w:tc>
        <w:tc>
          <w:tcPr>
            <w:tcW w:w="2160" w:type="dxa"/>
          </w:tcPr>
          <w:p w14:paraId="49AF20FB" w14:textId="77777777" w:rsidR="007D4739" w:rsidRPr="001C25D3" w:rsidRDefault="007D4739" w:rsidP="00D93F3C">
            <w:r w:rsidRPr="001C25D3">
              <w:t>0.00353</w:t>
            </w:r>
          </w:p>
        </w:tc>
      </w:tr>
    </w:tbl>
    <w:p w14:paraId="1347234C" w14:textId="77777777" w:rsidR="00602145" w:rsidRDefault="00602145" w:rsidP="00F13774">
      <w:pPr>
        <w:rPr>
          <w:b/>
          <w:bCs/>
        </w:rPr>
      </w:pPr>
    </w:p>
    <w:p w14:paraId="5C2C8426" w14:textId="6ACC5453" w:rsidR="00A169AD" w:rsidRPr="00C4266A" w:rsidRDefault="00C4266A" w:rsidP="00F13774">
      <w:pPr>
        <w:rPr>
          <w:b/>
          <w:bCs/>
        </w:rPr>
      </w:pPr>
      <w:r w:rsidRPr="00C4266A">
        <w:rPr>
          <w:b/>
          <w:bCs/>
        </w:rPr>
        <w:t xml:space="preserve">Table </w:t>
      </w:r>
      <w:r w:rsidR="00FD4CC6">
        <w:rPr>
          <w:b/>
          <w:bCs/>
        </w:rPr>
        <w:t>3</w:t>
      </w:r>
      <w:r w:rsidRPr="00C4266A">
        <w:rPr>
          <w:b/>
          <w:bCs/>
        </w:rPr>
        <w:t>: CO</w:t>
      </w:r>
      <w:r w:rsidRPr="00C4266A">
        <w:rPr>
          <w:b/>
          <w:bCs/>
          <w:vertAlign w:val="subscript"/>
        </w:rPr>
        <w:t>2</w:t>
      </w:r>
      <w:r w:rsidRPr="00C4266A">
        <w:rPr>
          <w:b/>
          <w:bCs/>
        </w:rPr>
        <w:t xml:space="preserve"> equivalents </w:t>
      </w:r>
      <w:r w:rsidR="00FD4CC6">
        <w:rPr>
          <w:b/>
          <w:bCs/>
        </w:rPr>
        <w:t>(CO</w:t>
      </w:r>
      <w:r w:rsidR="00FD4CC6" w:rsidRPr="00FD4CC6">
        <w:rPr>
          <w:b/>
          <w:bCs/>
          <w:vertAlign w:val="subscript"/>
        </w:rPr>
        <w:t>2</w:t>
      </w:r>
      <w:r w:rsidR="00FD4CC6">
        <w:rPr>
          <w:b/>
          <w:bCs/>
        </w:rPr>
        <w:t>e)</w:t>
      </w:r>
    </w:p>
    <w:tbl>
      <w:tblPr>
        <w:tblStyle w:val="TableGrid"/>
        <w:tblW w:w="0" w:type="auto"/>
        <w:tblLook w:val="04A0" w:firstRow="1" w:lastRow="0" w:firstColumn="1" w:lastColumn="0" w:noHBand="0" w:noVBand="1"/>
      </w:tblPr>
      <w:tblGrid>
        <w:gridCol w:w="1885"/>
        <w:gridCol w:w="2610"/>
      </w:tblGrid>
      <w:tr w:rsidR="00A169AD" w14:paraId="36C7736C" w14:textId="77777777" w:rsidTr="00FD4CC6">
        <w:tc>
          <w:tcPr>
            <w:tcW w:w="1885" w:type="dxa"/>
            <w:shd w:val="clear" w:color="auto" w:fill="D3BF7B" w:themeFill="text2" w:themeFillShade="BF"/>
            <w:vAlign w:val="center"/>
          </w:tcPr>
          <w:p w14:paraId="572F4725" w14:textId="77777777" w:rsidR="00A169AD" w:rsidRPr="00FD4CC6" w:rsidRDefault="00A169AD" w:rsidP="00C4266A">
            <w:pPr>
              <w:jc w:val="center"/>
              <w:rPr>
                <w:b/>
                <w:bCs/>
              </w:rPr>
            </w:pPr>
            <w:r w:rsidRPr="00FD4CC6">
              <w:rPr>
                <w:b/>
                <w:bCs/>
              </w:rPr>
              <w:t>Greenhouse Gas</w:t>
            </w:r>
          </w:p>
        </w:tc>
        <w:tc>
          <w:tcPr>
            <w:tcW w:w="2610" w:type="dxa"/>
            <w:shd w:val="clear" w:color="auto" w:fill="D3BF7B" w:themeFill="text2" w:themeFillShade="BF"/>
            <w:vAlign w:val="center"/>
          </w:tcPr>
          <w:p w14:paraId="4BC94D0D" w14:textId="79E48155" w:rsidR="00A169AD" w:rsidRPr="00FD4CC6" w:rsidRDefault="00A169AD" w:rsidP="00C4266A">
            <w:pPr>
              <w:jc w:val="center"/>
              <w:rPr>
                <w:b/>
                <w:bCs/>
              </w:rPr>
            </w:pPr>
            <w:r w:rsidRPr="00FD4CC6">
              <w:rPr>
                <w:b/>
                <w:bCs/>
              </w:rPr>
              <w:t xml:space="preserve">Global Warming Potential </w:t>
            </w:r>
            <w:r w:rsidR="00C4266A" w:rsidRPr="00FD4CC6">
              <w:rPr>
                <w:b/>
                <w:bCs/>
              </w:rPr>
              <w:t>Factor</w:t>
            </w:r>
            <w:r w:rsidRPr="00FD4CC6">
              <w:rPr>
                <w:b/>
                <w:bCs/>
              </w:rPr>
              <w:t>- 100 Year</w:t>
            </w:r>
          </w:p>
        </w:tc>
      </w:tr>
      <w:tr w:rsidR="00A169AD" w14:paraId="1E3B7A97" w14:textId="77777777" w:rsidTr="00337756">
        <w:tc>
          <w:tcPr>
            <w:tcW w:w="1885" w:type="dxa"/>
            <w:vAlign w:val="center"/>
          </w:tcPr>
          <w:p w14:paraId="1CA3BADF" w14:textId="54F51C74" w:rsidR="00A169AD" w:rsidRDefault="00A169AD" w:rsidP="00C4266A">
            <w:pPr>
              <w:jc w:val="center"/>
            </w:pPr>
            <w:r>
              <w:t>CO</w:t>
            </w:r>
            <w:r w:rsidRPr="0093533D">
              <w:rPr>
                <w:vertAlign w:val="subscript"/>
              </w:rPr>
              <w:t>2</w:t>
            </w:r>
          </w:p>
        </w:tc>
        <w:tc>
          <w:tcPr>
            <w:tcW w:w="2610" w:type="dxa"/>
            <w:vAlign w:val="center"/>
          </w:tcPr>
          <w:p w14:paraId="5044BF2C" w14:textId="77777777" w:rsidR="00A169AD" w:rsidRDefault="00A169AD" w:rsidP="00C4266A">
            <w:pPr>
              <w:jc w:val="center"/>
            </w:pPr>
            <w:r>
              <w:t>1</w:t>
            </w:r>
          </w:p>
        </w:tc>
      </w:tr>
      <w:tr w:rsidR="00A169AD" w14:paraId="5E0E42ED" w14:textId="77777777" w:rsidTr="00337756">
        <w:tc>
          <w:tcPr>
            <w:tcW w:w="1885" w:type="dxa"/>
            <w:vAlign w:val="center"/>
          </w:tcPr>
          <w:p w14:paraId="6ADABDDB" w14:textId="77777777" w:rsidR="00A169AD" w:rsidRDefault="00A169AD" w:rsidP="00C4266A">
            <w:pPr>
              <w:jc w:val="center"/>
            </w:pPr>
            <w:r>
              <w:t>CH</w:t>
            </w:r>
            <w:r w:rsidRPr="0093533D">
              <w:rPr>
                <w:vertAlign w:val="subscript"/>
              </w:rPr>
              <w:t>4</w:t>
            </w:r>
          </w:p>
        </w:tc>
        <w:tc>
          <w:tcPr>
            <w:tcW w:w="2610" w:type="dxa"/>
            <w:vAlign w:val="center"/>
          </w:tcPr>
          <w:p w14:paraId="64B273F1" w14:textId="77777777" w:rsidR="00A169AD" w:rsidRDefault="00A169AD" w:rsidP="00C4266A">
            <w:pPr>
              <w:jc w:val="center"/>
            </w:pPr>
            <w:r>
              <w:t>34</w:t>
            </w:r>
          </w:p>
        </w:tc>
      </w:tr>
      <w:tr w:rsidR="00A169AD" w14:paraId="6FEE273B" w14:textId="77777777" w:rsidTr="00337756">
        <w:tc>
          <w:tcPr>
            <w:tcW w:w="1885" w:type="dxa"/>
            <w:vAlign w:val="center"/>
          </w:tcPr>
          <w:p w14:paraId="642A76F5" w14:textId="77777777" w:rsidR="00A169AD" w:rsidRDefault="00A169AD" w:rsidP="00C4266A">
            <w:pPr>
              <w:jc w:val="center"/>
            </w:pPr>
            <w:r>
              <w:t>N</w:t>
            </w:r>
            <w:r w:rsidRPr="0080773E">
              <w:rPr>
                <w:vertAlign w:val="subscript"/>
              </w:rPr>
              <w:t>2</w:t>
            </w:r>
            <w:r>
              <w:t>O</w:t>
            </w:r>
          </w:p>
        </w:tc>
        <w:tc>
          <w:tcPr>
            <w:tcW w:w="2610" w:type="dxa"/>
            <w:vAlign w:val="center"/>
          </w:tcPr>
          <w:p w14:paraId="4C226E51" w14:textId="77777777" w:rsidR="00A169AD" w:rsidRDefault="00A169AD" w:rsidP="00C4266A">
            <w:pPr>
              <w:jc w:val="center"/>
            </w:pPr>
            <w:r>
              <w:t>298</w:t>
            </w:r>
          </w:p>
        </w:tc>
      </w:tr>
    </w:tbl>
    <w:p w14:paraId="1AFAB401" w14:textId="5B35C24A" w:rsidR="007627EF" w:rsidRDefault="00F13774" w:rsidP="00275CE2">
      <w:pPr>
        <w:pStyle w:val="Heading1"/>
      </w:pPr>
      <w:bookmarkStart w:id="3" w:name="_Toc43052732"/>
      <w:r>
        <w:t>Methane Emission Studies</w:t>
      </w:r>
      <w:bookmarkEnd w:id="3"/>
    </w:p>
    <w:p w14:paraId="2512E81D" w14:textId="3BCBDAA8" w:rsidR="00681564" w:rsidRDefault="00681564" w:rsidP="00681564">
      <w:r>
        <w:t xml:space="preserve">From 2012 through 2017, </w:t>
      </w:r>
      <w:r w:rsidR="00A3396D">
        <w:t>EDF</w:t>
      </w:r>
      <w:r>
        <w:t xml:space="preserve"> </w:t>
      </w:r>
      <w:r w:rsidR="00A3396D">
        <w:t>c</w:t>
      </w:r>
      <w:r>
        <w:t xml:space="preserve">oordinated numerous scientific studies to measure methane releases from the oil and gas system.  Scientists and industry professionals </w:t>
      </w:r>
      <w:r w:rsidR="00A3396D">
        <w:t>performed ground based, facility-scale methane emission measurements across 30</w:t>
      </w:r>
      <w:r w:rsidR="00FD4CC6">
        <w:t xml:space="preserve"> </w:t>
      </w:r>
      <w:r w:rsidR="00A3396D">
        <w:t>% of the gas production areas in the US</w:t>
      </w:r>
      <w:r>
        <w:t xml:space="preserve"> and scaled up to an annual estimate</w:t>
      </w:r>
      <w:r w:rsidR="00A3396D">
        <w:t>. T</w:t>
      </w:r>
      <w:r w:rsidR="000709CD">
        <w:t>he</w:t>
      </w:r>
      <w:r w:rsidR="00A3396D">
        <w:t xml:space="preserve"> ground-based</w:t>
      </w:r>
      <w:r w:rsidR="000709CD">
        <w:t xml:space="preserve"> results </w:t>
      </w:r>
      <w:r w:rsidR="00A3396D">
        <w:t>were verified with aircraft measurements.</w:t>
      </w:r>
      <w:r w:rsidRPr="00681564">
        <w:t xml:space="preserve"> </w:t>
      </w:r>
      <w:r>
        <w:t>The studies found that most of the methane releases are occurring upstream in the production, gathering, and processing stages.  They also found that</w:t>
      </w:r>
      <w:r w:rsidR="00FD2B2D">
        <w:t xml:space="preserve"> actual</w:t>
      </w:r>
      <w:r>
        <w:t xml:space="preserve"> </w:t>
      </w:r>
      <w:r w:rsidR="000709CD">
        <w:t xml:space="preserve">methane </w:t>
      </w:r>
      <w:r>
        <w:t xml:space="preserve">emissions </w:t>
      </w:r>
      <w:r w:rsidR="000709CD">
        <w:t>are much higher than estimates</w:t>
      </w:r>
      <w:r w:rsidR="00FD2B2D">
        <w:t xml:space="preserve"> would indicate</w:t>
      </w:r>
      <w:r>
        <w:t xml:space="preserve"> </w:t>
      </w:r>
      <w:r w:rsidR="000709CD">
        <w:t>using</w:t>
      </w:r>
      <w:r>
        <w:t xml:space="preserve"> the bottoms-up inventory method.  </w:t>
      </w:r>
      <w:r w:rsidR="00345562">
        <w:t xml:space="preserve">Some of the discrepancy may be due to the </w:t>
      </w:r>
      <w:r>
        <w:t xml:space="preserve">facility-scale </w:t>
      </w:r>
      <w:r w:rsidR="00345562">
        <w:t>measurement methods catching equipment that had failed or was operating sub-optimally.</w:t>
      </w:r>
      <w:r>
        <w:t xml:space="preserve"> </w:t>
      </w:r>
    </w:p>
    <w:p w14:paraId="4BA96CB2" w14:textId="16902518" w:rsidR="00A3396D" w:rsidRDefault="0051428F" w:rsidP="00587334">
      <w:r>
        <w:t xml:space="preserve">The National Energy Technology Laboratory (NETL) and Carnegie Mellon University (CMU) </w:t>
      </w:r>
      <w:r w:rsidR="00F83E71">
        <w:t xml:space="preserve">teamed up on a study to </w:t>
      </w:r>
      <w:r w:rsidR="00587334">
        <w:t xml:space="preserve">use the NETL life cycle model to synthesize an estimate of methane emissions.  They </w:t>
      </w:r>
      <w:r w:rsidR="00602145">
        <w:t xml:space="preserve">also </w:t>
      </w:r>
      <w:r w:rsidR="00F83E71">
        <w:t>utilize</w:t>
      </w:r>
      <w:r w:rsidR="00587334">
        <w:t>d</w:t>
      </w:r>
      <w:r>
        <w:t xml:space="preserve"> some of the new data from the EDF study</w:t>
      </w:r>
      <w:r w:rsidR="00587334">
        <w:t>, along with the EPA inventory</w:t>
      </w:r>
      <w:r w:rsidR="00F83E71">
        <w:t xml:space="preserve"> </w:t>
      </w:r>
      <w:r w:rsidR="00587334">
        <w:t>data as input.</w:t>
      </w:r>
      <w:r w:rsidR="00F83E71">
        <w:t xml:space="preserve">  One of the</w:t>
      </w:r>
      <w:r w:rsidR="00602145">
        <w:t>ir</w:t>
      </w:r>
      <w:r w:rsidR="00F83E71">
        <w:t xml:space="preserve"> key finding</w:t>
      </w:r>
      <w:r w:rsidR="00602145">
        <w:t>s</w:t>
      </w:r>
      <w:r w:rsidR="00F83E71">
        <w:t xml:space="preserve"> </w:t>
      </w:r>
      <w:r w:rsidR="00587334">
        <w:t>was that 19</w:t>
      </w:r>
      <w:r w:rsidR="00FD4CC6">
        <w:t xml:space="preserve"> </w:t>
      </w:r>
      <w:r w:rsidR="00587334">
        <w:t xml:space="preserve">% of the methane emissions were “unassigned”, </w:t>
      </w:r>
      <w:r w:rsidR="00B05650">
        <w:t>indicating</w:t>
      </w:r>
      <w:r w:rsidR="00587334">
        <w:t xml:space="preserve"> that there is a gap as to why site-level measurements </w:t>
      </w:r>
      <w:r w:rsidR="00B05650">
        <w:t xml:space="preserve">show higher </w:t>
      </w:r>
      <w:r w:rsidR="00587334">
        <w:t>emissions than bottoms-up inventory analysis.</w:t>
      </w:r>
      <w:r w:rsidR="00E13A1E">
        <w:t xml:space="preserve">  This study also did not explicitly consider the methane leaks from the oil system like the EDF coordinated studies – though a significant amount of </w:t>
      </w:r>
      <w:r w:rsidR="00FD2B2D">
        <w:t xml:space="preserve">marketed natural gas </w:t>
      </w:r>
      <w:r w:rsidR="00E13A1E">
        <w:t>is produced from oil drilling</w:t>
      </w:r>
      <w:r w:rsidR="00FD2B2D">
        <w:t xml:space="preserve"> (associated gas)</w:t>
      </w:r>
      <w:r w:rsidR="00E13A1E">
        <w:t>.</w:t>
      </w:r>
    </w:p>
    <w:p w14:paraId="2F28EDDC" w14:textId="01D71696" w:rsidR="00864DA8" w:rsidRDefault="00864DA8" w:rsidP="00587334">
      <w:r>
        <w:lastRenderedPageBreak/>
        <w:t>The International Energy Agency (IEA)</w:t>
      </w:r>
      <w:r>
        <w:rPr>
          <w:rStyle w:val="FootnoteReference"/>
        </w:rPr>
        <w:footnoteReference w:id="5"/>
      </w:r>
      <w:r>
        <w:t xml:space="preserve"> just</w:t>
      </w:r>
      <w:r w:rsidR="00FD4CC6">
        <w:t xml:space="preserve"> </w:t>
      </w:r>
      <w:r>
        <w:t>released methane emission estimates with their Methane Tracker 2020 tool.  This tool estimates emissions from the full oil and natural gas supply chain, including methane releases from unintended leaks (fugitives), intended releases (venting) and incomplete flaring.</w:t>
      </w:r>
    </w:p>
    <w:p w14:paraId="192EE6DC" w14:textId="4C2FC680" w:rsidR="00825972" w:rsidRDefault="001726E4" w:rsidP="00587334">
      <w:r>
        <w:t>The EPA publishes a</w:t>
      </w:r>
      <w:r w:rsidR="005866A2">
        <w:t xml:space="preserve">n </w:t>
      </w:r>
      <w:r w:rsidR="005F07AB">
        <w:t xml:space="preserve">annual </w:t>
      </w:r>
      <w:r>
        <w:t>report</w:t>
      </w:r>
      <w:r w:rsidR="005F07AB">
        <w:t xml:space="preserve"> </w:t>
      </w:r>
      <w:r>
        <w:t xml:space="preserve">- </w:t>
      </w:r>
      <w:r w:rsidRPr="001726E4">
        <w:rPr>
          <w:i/>
          <w:iCs/>
        </w:rPr>
        <w:t>Inventory of Greenhouse Gas Emissions and Sinks</w:t>
      </w:r>
      <w:r>
        <w:t xml:space="preserve"> - that includes </w:t>
      </w:r>
      <w:r w:rsidR="005F07AB">
        <w:t>separate</w:t>
      </w:r>
      <w:r>
        <w:t xml:space="preserve"> estimate</w:t>
      </w:r>
      <w:r w:rsidR="005F07AB">
        <w:t>s</w:t>
      </w:r>
      <w:r>
        <w:t xml:space="preserve"> of emissions of methane from the natural gas and petroleum (oil) systems in the US.  Data fo</w:t>
      </w:r>
      <w:r w:rsidR="005866A2">
        <w:t xml:space="preserve">r </w:t>
      </w:r>
      <w:r>
        <w:t>this study was pulled from the most recent final report</w:t>
      </w:r>
      <w:r w:rsidR="005866A2">
        <w:rPr>
          <w:rStyle w:val="FootnoteReference"/>
        </w:rPr>
        <w:footnoteReference w:id="6"/>
      </w:r>
      <w:r w:rsidR="005866A2">
        <w:t xml:space="preserve">, </w:t>
      </w:r>
      <w:r>
        <w:t xml:space="preserve">along with the supplemental documents that includes </w:t>
      </w:r>
      <w:r w:rsidR="005F07AB">
        <w:t>uncertainty</w:t>
      </w:r>
      <w:r>
        <w:t xml:space="preserve"> </w:t>
      </w:r>
      <w:r w:rsidR="005F07AB">
        <w:t>estimates</w:t>
      </w:r>
      <w:r w:rsidR="005866A2">
        <w:t>, for the emission year 2017</w:t>
      </w:r>
      <w:r>
        <w:t xml:space="preserve">. </w:t>
      </w:r>
    </w:p>
    <w:p w14:paraId="429C2461" w14:textId="77777777" w:rsidR="00C2261F" w:rsidRDefault="00DE081D" w:rsidP="00587334">
      <w:r>
        <w:t>Supplemental environmental impact</w:t>
      </w:r>
      <w:r w:rsidR="006D1C6E">
        <w:t xml:space="preserve"> statements were completed in 2019 for two proposed natural gas related projects in the state of Washington</w:t>
      </w:r>
      <w:r w:rsidR="00C2261F">
        <w:t>:</w:t>
      </w:r>
    </w:p>
    <w:p w14:paraId="5FDF09BE" w14:textId="5F3C4EAB" w:rsidR="00B4261B" w:rsidRDefault="00C2261F" w:rsidP="00C2261F">
      <w:pPr>
        <w:pStyle w:val="ListParagraph"/>
        <w:numPr>
          <w:ilvl w:val="0"/>
          <w:numId w:val="2"/>
        </w:numPr>
      </w:pPr>
      <w:r>
        <w:t>Kalama Manufacturing &amp; Marine Export Facility</w:t>
      </w:r>
      <w:r w:rsidR="007C0240">
        <w:rPr>
          <w:rStyle w:val="FootnoteReference"/>
        </w:rPr>
        <w:footnoteReference w:id="7"/>
      </w:r>
    </w:p>
    <w:p w14:paraId="5C17CE7E" w14:textId="201F8AA9" w:rsidR="00C2261F" w:rsidRDefault="00C2261F" w:rsidP="00C2261F">
      <w:pPr>
        <w:pStyle w:val="ListParagraph"/>
        <w:numPr>
          <w:ilvl w:val="0"/>
          <w:numId w:val="2"/>
        </w:numPr>
      </w:pPr>
      <w:r>
        <w:t>PSE Tacoma LNG Project</w:t>
      </w:r>
      <w:r w:rsidR="007C0240">
        <w:rPr>
          <w:rStyle w:val="FootnoteReference"/>
        </w:rPr>
        <w:footnoteReference w:id="8"/>
      </w:r>
    </w:p>
    <w:p w14:paraId="0528685D" w14:textId="7BC52583" w:rsidR="00C2261F" w:rsidRDefault="00C2261F" w:rsidP="00C2261F">
      <w:r>
        <w:t>Ecology and Environmental Inc and Life Cycle Associates published a study for these projects that estimated emissions related to these two projects</w:t>
      </w:r>
      <w:r w:rsidR="00B04376">
        <w:t>, including upstream methane.  The study used a life cycle analysis tool used in Canada – GHGenius – to calculate emissions from natural gas production and transportation from British Columbia</w:t>
      </w:r>
      <w:r w:rsidR="00092BF3">
        <w:rPr>
          <w:rStyle w:val="FootnoteReference"/>
        </w:rPr>
        <w:footnoteReference w:id="9"/>
      </w:r>
      <w:r w:rsidR="00B04376">
        <w:t xml:space="preserve">.  </w:t>
      </w:r>
      <w:r w:rsidR="00936613">
        <w:t xml:space="preserve">A summary of the results used for this study is in Table </w:t>
      </w:r>
      <w:r w:rsidR="009F13C8">
        <w:t>5</w:t>
      </w:r>
      <w:r w:rsidR="00B04376">
        <w:t>.  The GHGenius model is similar</w:t>
      </w:r>
      <w:r w:rsidR="00EE7E9A">
        <w:t xml:space="preserve"> </w:t>
      </w:r>
      <w:r w:rsidR="00B04376">
        <w:t>to the EPA method in that it is an inventory model</w:t>
      </w:r>
      <w:r w:rsidR="009F13C8">
        <w:t>;</w:t>
      </w:r>
      <w:r w:rsidR="005A0AE0">
        <w:t xml:space="preserve"> GREET is a</w:t>
      </w:r>
      <w:r w:rsidR="009F13C8">
        <w:t xml:space="preserve"> similar</w:t>
      </w:r>
      <w:r w:rsidR="005A0AE0">
        <w:t xml:space="preserve"> inventory model for North America.</w:t>
      </w:r>
    </w:p>
    <w:p w14:paraId="420B2037" w14:textId="6516A157" w:rsidR="00DF0D18" w:rsidRPr="00DF0D18" w:rsidRDefault="00DF0D18" w:rsidP="00DF0D18">
      <w:pPr>
        <w:rPr>
          <w:b/>
          <w:bCs/>
        </w:rPr>
      </w:pPr>
      <w:r w:rsidRPr="00DF0D18">
        <w:rPr>
          <w:b/>
          <w:bCs/>
        </w:rPr>
        <w:t xml:space="preserve">Table </w:t>
      </w:r>
      <w:r w:rsidR="009F13C8">
        <w:rPr>
          <w:b/>
          <w:bCs/>
        </w:rPr>
        <w:t>4</w:t>
      </w:r>
      <w:r w:rsidRPr="00DF0D18">
        <w:rPr>
          <w:b/>
          <w:bCs/>
        </w:rPr>
        <w:t xml:space="preserve">: Upstream </w:t>
      </w:r>
      <w:r w:rsidR="009F13C8">
        <w:rPr>
          <w:b/>
          <w:bCs/>
        </w:rPr>
        <w:t>m</w:t>
      </w:r>
      <w:r w:rsidRPr="00DF0D18">
        <w:rPr>
          <w:b/>
          <w:bCs/>
        </w:rPr>
        <w:t xml:space="preserve">ethane </w:t>
      </w:r>
      <w:r w:rsidR="009F13C8">
        <w:rPr>
          <w:b/>
          <w:bCs/>
        </w:rPr>
        <w:t>s</w:t>
      </w:r>
      <w:r w:rsidRPr="00DF0D18">
        <w:rPr>
          <w:b/>
          <w:bCs/>
        </w:rPr>
        <w:t xml:space="preserve">tudies and </w:t>
      </w:r>
      <w:r w:rsidR="009F13C8">
        <w:rPr>
          <w:b/>
          <w:bCs/>
        </w:rPr>
        <w:t>e</w:t>
      </w:r>
      <w:r w:rsidRPr="00DF0D18">
        <w:rPr>
          <w:b/>
          <w:bCs/>
        </w:rPr>
        <w:t>stimates</w:t>
      </w:r>
    </w:p>
    <w:tbl>
      <w:tblPr>
        <w:tblStyle w:val="TableGrid"/>
        <w:tblW w:w="9535" w:type="dxa"/>
        <w:jc w:val="center"/>
        <w:tblLayout w:type="fixed"/>
        <w:tblLook w:val="04A0" w:firstRow="1" w:lastRow="0" w:firstColumn="1" w:lastColumn="0" w:noHBand="0" w:noVBand="1"/>
      </w:tblPr>
      <w:tblGrid>
        <w:gridCol w:w="1345"/>
        <w:gridCol w:w="3600"/>
        <w:gridCol w:w="1140"/>
        <w:gridCol w:w="1110"/>
        <w:gridCol w:w="853"/>
        <w:gridCol w:w="677"/>
        <w:gridCol w:w="810"/>
      </w:tblGrid>
      <w:tr w:rsidR="005E468C" w14:paraId="3CE849E0" w14:textId="77777777" w:rsidTr="009F13C8">
        <w:trPr>
          <w:jc w:val="center"/>
        </w:trPr>
        <w:tc>
          <w:tcPr>
            <w:tcW w:w="1345" w:type="dxa"/>
            <w:shd w:val="clear" w:color="auto" w:fill="D3BF7B" w:themeFill="text2" w:themeFillShade="BF"/>
            <w:vAlign w:val="center"/>
          </w:tcPr>
          <w:p w14:paraId="62E019FF" w14:textId="77777777" w:rsidR="005E468C" w:rsidRPr="009F13C8" w:rsidRDefault="005E468C" w:rsidP="000B4E63">
            <w:pPr>
              <w:jc w:val="center"/>
              <w:rPr>
                <w:b/>
                <w:bCs/>
              </w:rPr>
            </w:pPr>
            <w:r w:rsidRPr="009F13C8">
              <w:rPr>
                <w:b/>
                <w:bCs/>
              </w:rPr>
              <w:t>Study</w:t>
            </w:r>
          </w:p>
        </w:tc>
        <w:tc>
          <w:tcPr>
            <w:tcW w:w="3600" w:type="dxa"/>
            <w:shd w:val="clear" w:color="auto" w:fill="D3BF7B" w:themeFill="text2" w:themeFillShade="BF"/>
            <w:vAlign w:val="center"/>
          </w:tcPr>
          <w:p w14:paraId="4A52398E" w14:textId="77777777" w:rsidR="005E468C" w:rsidRPr="009F13C8" w:rsidRDefault="005E468C" w:rsidP="000B4E63">
            <w:pPr>
              <w:jc w:val="center"/>
              <w:rPr>
                <w:b/>
                <w:bCs/>
              </w:rPr>
            </w:pPr>
            <w:r w:rsidRPr="009F13C8">
              <w:rPr>
                <w:b/>
                <w:bCs/>
              </w:rPr>
              <w:t>Publication</w:t>
            </w:r>
          </w:p>
        </w:tc>
        <w:tc>
          <w:tcPr>
            <w:tcW w:w="1140" w:type="dxa"/>
            <w:shd w:val="clear" w:color="auto" w:fill="D3BF7B" w:themeFill="text2" w:themeFillShade="BF"/>
            <w:vAlign w:val="center"/>
          </w:tcPr>
          <w:p w14:paraId="11C9F140" w14:textId="3BE569C5" w:rsidR="005E468C" w:rsidRPr="009F13C8" w:rsidRDefault="005E468C" w:rsidP="000B4E63">
            <w:pPr>
              <w:jc w:val="center"/>
              <w:rPr>
                <w:b/>
                <w:bCs/>
              </w:rPr>
            </w:pPr>
            <w:r w:rsidRPr="009F13C8">
              <w:rPr>
                <w:b/>
                <w:bCs/>
              </w:rPr>
              <w:t>Emission Source</w:t>
            </w:r>
          </w:p>
        </w:tc>
        <w:tc>
          <w:tcPr>
            <w:tcW w:w="1110" w:type="dxa"/>
            <w:shd w:val="clear" w:color="auto" w:fill="D3BF7B" w:themeFill="text2" w:themeFillShade="BF"/>
            <w:vAlign w:val="center"/>
          </w:tcPr>
          <w:p w14:paraId="4F76E855" w14:textId="4D780E50" w:rsidR="005E468C" w:rsidRPr="009F13C8" w:rsidRDefault="005E468C" w:rsidP="000B4E63">
            <w:pPr>
              <w:jc w:val="center"/>
              <w:rPr>
                <w:b/>
                <w:bCs/>
              </w:rPr>
            </w:pPr>
            <w:r w:rsidRPr="009F13C8">
              <w:rPr>
                <w:b/>
                <w:bCs/>
              </w:rPr>
              <w:t>Emission Year</w:t>
            </w:r>
          </w:p>
        </w:tc>
        <w:tc>
          <w:tcPr>
            <w:tcW w:w="853" w:type="dxa"/>
            <w:shd w:val="clear" w:color="auto" w:fill="D3BF7B" w:themeFill="text2" w:themeFillShade="BF"/>
            <w:vAlign w:val="center"/>
          </w:tcPr>
          <w:p w14:paraId="1FBBE65D" w14:textId="507FAE6E" w:rsidR="005E468C" w:rsidRPr="009F13C8" w:rsidRDefault="005E468C" w:rsidP="000B4E63">
            <w:pPr>
              <w:jc w:val="center"/>
              <w:rPr>
                <w:b/>
                <w:bCs/>
              </w:rPr>
            </w:pPr>
            <w:r w:rsidRPr="009F13C8">
              <w:rPr>
                <w:b/>
                <w:bCs/>
              </w:rPr>
              <w:t>Est</w:t>
            </w:r>
            <w:r w:rsidR="00221795" w:rsidRPr="009F13C8">
              <w:rPr>
                <w:b/>
                <w:bCs/>
              </w:rPr>
              <w:t>.</w:t>
            </w:r>
            <w:r w:rsidRPr="009F13C8">
              <w:rPr>
                <w:b/>
                <w:bCs/>
              </w:rPr>
              <w:t xml:space="preserve"> </w:t>
            </w:r>
            <w:r w:rsidR="00337756" w:rsidRPr="009F13C8">
              <w:rPr>
                <w:b/>
                <w:bCs/>
              </w:rPr>
              <w:t>–</w:t>
            </w:r>
            <w:r w:rsidRPr="009F13C8">
              <w:rPr>
                <w:b/>
                <w:bCs/>
              </w:rPr>
              <w:t xml:space="preserve"> Tg</w:t>
            </w:r>
          </w:p>
        </w:tc>
        <w:tc>
          <w:tcPr>
            <w:tcW w:w="677" w:type="dxa"/>
            <w:shd w:val="clear" w:color="auto" w:fill="D3BF7B" w:themeFill="text2" w:themeFillShade="BF"/>
            <w:vAlign w:val="center"/>
          </w:tcPr>
          <w:p w14:paraId="06813D54" w14:textId="77777777" w:rsidR="005E468C" w:rsidRPr="009F13C8" w:rsidRDefault="005E468C" w:rsidP="000B4E63">
            <w:pPr>
              <w:jc w:val="center"/>
              <w:rPr>
                <w:b/>
                <w:bCs/>
              </w:rPr>
            </w:pPr>
            <w:r w:rsidRPr="009F13C8">
              <w:rPr>
                <w:b/>
                <w:bCs/>
              </w:rPr>
              <w:t>Low – Tg</w:t>
            </w:r>
          </w:p>
        </w:tc>
        <w:tc>
          <w:tcPr>
            <w:tcW w:w="810" w:type="dxa"/>
            <w:shd w:val="clear" w:color="auto" w:fill="D3BF7B" w:themeFill="text2" w:themeFillShade="BF"/>
            <w:vAlign w:val="center"/>
          </w:tcPr>
          <w:p w14:paraId="271A7431" w14:textId="77777777" w:rsidR="005E468C" w:rsidRPr="009F13C8" w:rsidRDefault="005E468C" w:rsidP="000B4E63">
            <w:pPr>
              <w:jc w:val="center"/>
              <w:rPr>
                <w:b/>
                <w:bCs/>
              </w:rPr>
            </w:pPr>
            <w:r w:rsidRPr="009F13C8">
              <w:rPr>
                <w:b/>
                <w:bCs/>
              </w:rPr>
              <w:t>High – Tg</w:t>
            </w:r>
          </w:p>
        </w:tc>
      </w:tr>
      <w:tr w:rsidR="005E468C" w14:paraId="6C1B8136" w14:textId="77777777" w:rsidTr="00221795">
        <w:trPr>
          <w:jc w:val="center"/>
        </w:trPr>
        <w:tc>
          <w:tcPr>
            <w:tcW w:w="1345" w:type="dxa"/>
            <w:vAlign w:val="center"/>
          </w:tcPr>
          <w:p w14:paraId="3666FA8E" w14:textId="3B9ACA66" w:rsidR="005E468C" w:rsidRDefault="005E468C" w:rsidP="000B4E63">
            <w:pPr>
              <w:jc w:val="center"/>
            </w:pPr>
            <w:r>
              <w:t>EDF Coor</w:t>
            </w:r>
            <w:r w:rsidR="00221795">
              <w:t>d.</w:t>
            </w:r>
          </w:p>
          <w:p w14:paraId="27A6EDCF" w14:textId="77777777" w:rsidR="005E468C" w:rsidRDefault="005E468C" w:rsidP="000B4E63">
            <w:pPr>
              <w:jc w:val="center"/>
            </w:pPr>
          </w:p>
        </w:tc>
        <w:tc>
          <w:tcPr>
            <w:tcW w:w="3600" w:type="dxa"/>
            <w:vAlign w:val="center"/>
          </w:tcPr>
          <w:p w14:paraId="49FDD7F8" w14:textId="77777777" w:rsidR="005E468C" w:rsidRPr="00142072" w:rsidRDefault="005E468C" w:rsidP="000B4E63">
            <w:pPr>
              <w:jc w:val="center"/>
              <w:rPr>
                <w:i/>
                <w:iCs/>
                <w:shd w:val="clear" w:color="auto" w:fill="FFFFFF"/>
              </w:rPr>
            </w:pPr>
            <w:r w:rsidRPr="00142072">
              <w:rPr>
                <w:i/>
                <w:iCs/>
                <w:shd w:val="clear" w:color="auto" w:fill="FFFFFF"/>
              </w:rPr>
              <w:t>Assessment of methane emissions from the U.S. oil and gas supply chain</w:t>
            </w:r>
          </w:p>
          <w:p w14:paraId="2A5320A8" w14:textId="77777777" w:rsidR="005E468C" w:rsidRDefault="005E468C" w:rsidP="000B4E63">
            <w:pPr>
              <w:jc w:val="center"/>
              <w:rPr>
                <w:rStyle w:val="HTMLCite"/>
                <w:i w:val="0"/>
                <w:iCs w:val="0"/>
                <w:shd w:val="clear" w:color="auto" w:fill="FFFFFF"/>
              </w:rPr>
            </w:pPr>
          </w:p>
          <w:p w14:paraId="5218A585" w14:textId="77777777" w:rsidR="005E468C" w:rsidRPr="00142072" w:rsidRDefault="005E468C" w:rsidP="000B4E63">
            <w:pPr>
              <w:jc w:val="center"/>
              <w:rPr>
                <w:i/>
                <w:iCs/>
              </w:rPr>
            </w:pPr>
            <w:r w:rsidRPr="00142072">
              <w:rPr>
                <w:rStyle w:val="HTMLCite"/>
                <w:i w:val="0"/>
                <w:iCs w:val="0"/>
                <w:shd w:val="clear" w:color="auto" w:fill="FFFFFF"/>
              </w:rPr>
              <w:t>Science </w:t>
            </w:r>
            <w:r w:rsidRPr="00142072">
              <w:rPr>
                <w:i/>
                <w:iCs/>
                <w:shd w:val="clear" w:color="auto" w:fill="FFFFFF"/>
              </w:rPr>
              <w:t>13 Jul 2018:</w:t>
            </w:r>
            <w:r w:rsidRPr="00142072">
              <w:rPr>
                <w:i/>
                <w:iCs/>
              </w:rPr>
              <w:br/>
            </w:r>
            <w:r w:rsidRPr="00142072">
              <w:rPr>
                <w:i/>
                <w:iCs/>
                <w:shd w:val="clear" w:color="auto" w:fill="FFFFFF"/>
              </w:rPr>
              <w:t>Vol. 361, Issue 6398, pp. 186-188</w:t>
            </w:r>
            <w:r w:rsidRPr="00142072">
              <w:rPr>
                <w:i/>
                <w:iCs/>
              </w:rPr>
              <w:br/>
            </w:r>
            <w:r w:rsidRPr="00142072">
              <w:rPr>
                <w:i/>
                <w:iCs/>
                <w:shd w:val="clear" w:color="auto" w:fill="FFFFFF"/>
              </w:rPr>
              <w:t>DOI: 10.1126/science.aar7204</w:t>
            </w:r>
          </w:p>
        </w:tc>
        <w:tc>
          <w:tcPr>
            <w:tcW w:w="1140" w:type="dxa"/>
            <w:vAlign w:val="center"/>
          </w:tcPr>
          <w:p w14:paraId="209316E8" w14:textId="60A95CD1" w:rsidR="005E468C" w:rsidRDefault="005E468C" w:rsidP="000B4E63">
            <w:pPr>
              <w:jc w:val="center"/>
            </w:pPr>
            <w:r>
              <w:t>US Oil &amp; Natural Gas Systems</w:t>
            </w:r>
          </w:p>
        </w:tc>
        <w:tc>
          <w:tcPr>
            <w:tcW w:w="1110" w:type="dxa"/>
            <w:vAlign w:val="center"/>
          </w:tcPr>
          <w:p w14:paraId="1692CD04" w14:textId="0B38E418" w:rsidR="005E468C" w:rsidRDefault="005E468C" w:rsidP="000B4E63">
            <w:pPr>
              <w:jc w:val="center"/>
            </w:pPr>
            <w:r>
              <w:t>2015</w:t>
            </w:r>
          </w:p>
        </w:tc>
        <w:tc>
          <w:tcPr>
            <w:tcW w:w="853" w:type="dxa"/>
            <w:vAlign w:val="center"/>
          </w:tcPr>
          <w:p w14:paraId="18CFC2EF" w14:textId="77777777" w:rsidR="005E468C" w:rsidRDefault="005E468C" w:rsidP="000B4E63">
            <w:pPr>
              <w:jc w:val="center"/>
            </w:pPr>
            <w:r>
              <w:t>13.2</w:t>
            </w:r>
          </w:p>
        </w:tc>
        <w:tc>
          <w:tcPr>
            <w:tcW w:w="677" w:type="dxa"/>
            <w:vAlign w:val="center"/>
          </w:tcPr>
          <w:p w14:paraId="7576124E" w14:textId="77777777" w:rsidR="005E468C" w:rsidRDefault="005E468C" w:rsidP="000B4E63">
            <w:pPr>
              <w:jc w:val="center"/>
            </w:pPr>
            <w:r>
              <w:t>11.5</w:t>
            </w:r>
          </w:p>
        </w:tc>
        <w:tc>
          <w:tcPr>
            <w:tcW w:w="810" w:type="dxa"/>
            <w:vAlign w:val="center"/>
          </w:tcPr>
          <w:p w14:paraId="4DA91F1D" w14:textId="77777777" w:rsidR="005E468C" w:rsidRDefault="005E468C" w:rsidP="000B4E63">
            <w:pPr>
              <w:jc w:val="center"/>
            </w:pPr>
            <w:r>
              <w:t>15.3</w:t>
            </w:r>
          </w:p>
        </w:tc>
      </w:tr>
      <w:tr w:rsidR="005E468C" w14:paraId="08E308B4" w14:textId="77777777" w:rsidTr="00221795">
        <w:trPr>
          <w:jc w:val="center"/>
        </w:trPr>
        <w:tc>
          <w:tcPr>
            <w:tcW w:w="1345" w:type="dxa"/>
            <w:vAlign w:val="center"/>
          </w:tcPr>
          <w:p w14:paraId="5D158421" w14:textId="77777777" w:rsidR="005E468C" w:rsidRDefault="005E468C" w:rsidP="000B4E63">
            <w:pPr>
              <w:jc w:val="center"/>
            </w:pPr>
            <w:r>
              <w:t>NETL/CMU</w:t>
            </w:r>
          </w:p>
        </w:tc>
        <w:tc>
          <w:tcPr>
            <w:tcW w:w="3600" w:type="dxa"/>
            <w:vAlign w:val="center"/>
          </w:tcPr>
          <w:p w14:paraId="1D7ADABB" w14:textId="77777777" w:rsidR="005E468C" w:rsidRPr="00142072" w:rsidRDefault="005E468C" w:rsidP="000B4E63">
            <w:pPr>
              <w:autoSpaceDE w:val="0"/>
              <w:autoSpaceDN w:val="0"/>
              <w:adjustRightInd w:val="0"/>
              <w:jc w:val="center"/>
              <w:rPr>
                <w:rFonts w:cs="AdvOT863180fb"/>
                <w:i/>
                <w:iCs/>
                <w:color w:val="000000"/>
              </w:rPr>
            </w:pPr>
            <w:r w:rsidRPr="00142072">
              <w:rPr>
                <w:rFonts w:cs="AdvOT863180fb"/>
                <w:i/>
                <w:iCs/>
                <w:color w:val="000000"/>
              </w:rPr>
              <w:t>Synthesis of recent ground-level methane emission measurements</w:t>
            </w:r>
          </w:p>
          <w:p w14:paraId="0D25EB43" w14:textId="77777777" w:rsidR="005E468C" w:rsidRDefault="005E468C" w:rsidP="000B4E63">
            <w:pPr>
              <w:autoSpaceDE w:val="0"/>
              <w:autoSpaceDN w:val="0"/>
              <w:adjustRightInd w:val="0"/>
              <w:jc w:val="center"/>
              <w:rPr>
                <w:rFonts w:cs="AdvOT863180fb"/>
                <w:i/>
                <w:iCs/>
                <w:color w:val="000000"/>
              </w:rPr>
            </w:pPr>
            <w:r w:rsidRPr="00142072">
              <w:rPr>
                <w:rFonts w:cs="AdvOT863180fb"/>
                <w:i/>
                <w:iCs/>
                <w:color w:val="000000"/>
              </w:rPr>
              <w:t>from the U.S. natural gas supply chain</w:t>
            </w:r>
          </w:p>
          <w:p w14:paraId="02BF2D14" w14:textId="77777777" w:rsidR="005E468C" w:rsidRPr="00142072" w:rsidRDefault="005E468C" w:rsidP="000B4E63">
            <w:pPr>
              <w:autoSpaceDE w:val="0"/>
              <w:autoSpaceDN w:val="0"/>
              <w:adjustRightInd w:val="0"/>
              <w:jc w:val="center"/>
              <w:rPr>
                <w:rFonts w:cs="AdvOT863180fb"/>
                <w:i/>
                <w:iCs/>
                <w:color w:val="000000"/>
              </w:rPr>
            </w:pPr>
          </w:p>
          <w:p w14:paraId="7B311388" w14:textId="77777777" w:rsidR="005E468C" w:rsidRPr="00142072" w:rsidRDefault="005E468C" w:rsidP="000B4E63">
            <w:pPr>
              <w:autoSpaceDE w:val="0"/>
              <w:autoSpaceDN w:val="0"/>
              <w:adjustRightInd w:val="0"/>
              <w:jc w:val="center"/>
              <w:rPr>
                <w:rFonts w:cs="AdvOT863180fb"/>
                <w:i/>
                <w:iCs/>
              </w:rPr>
            </w:pPr>
            <w:r w:rsidRPr="00142072">
              <w:rPr>
                <w:rFonts w:cs="AdvOT863180fb"/>
              </w:rPr>
              <w:t xml:space="preserve">Journal of Cleaner Production 148 (2017) </w:t>
            </w:r>
            <w:r>
              <w:rPr>
                <w:rFonts w:cs="AdvOT863180fb"/>
              </w:rPr>
              <w:t>118-126</w:t>
            </w:r>
          </w:p>
        </w:tc>
        <w:tc>
          <w:tcPr>
            <w:tcW w:w="1140" w:type="dxa"/>
            <w:vAlign w:val="center"/>
          </w:tcPr>
          <w:p w14:paraId="1D5073B1" w14:textId="4D62393E" w:rsidR="005E468C" w:rsidRDefault="005E468C" w:rsidP="000B4E63">
            <w:pPr>
              <w:jc w:val="center"/>
            </w:pPr>
            <w:r>
              <w:t>US Natural Gas System</w:t>
            </w:r>
          </w:p>
        </w:tc>
        <w:tc>
          <w:tcPr>
            <w:tcW w:w="1110" w:type="dxa"/>
            <w:vAlign w:val="center"/>
          </w:tcPr>
          <w:p w14:paraId="24C73C40" w14:textId="45E27FDF" w:rsidR="005E468C" w:rsidRDefault="005E468C" w:rsidP="000B4E63">
            <w:pPr>
              <w:jc w:val="center"/>
            </w:pPr>
            <w:r>
              <w:t>2012</w:t>
            </w:r>
          </w:p>
        </w:tc>
        <w:tc>
          <w:tcPr>
            <w:tcW w:w="853" w:type="dxa"/>
            <w:vAlign w:val="center"/>
          </w:tcPr>
          <w:p w14:paraId="0A5F26C4" w14:textId="77777777" w:rsidR="005E468C" w:rsidRDefault="005E468C" w:rsidP="000B4E63">
            <w:pPr>
              <w:jc w:val="center"/>
            </w:pPr>
            <w:r>
              <w:t>7.3</w:t>
            </w:r>
          </w:p>
        </w:tc>
        <w:tc>
          <w:tcPr>
            <w:tcW w:w="677" w:type="dxa"/>
            <w:vAlign w:val="center"/>
          </w:tcPr>
          <w:p w14:paraId="7F5ED390" w14:textId="77777777" w:rsidR="005E468C" w:rsidRDefault="005E468C" w:rsidP="000B4E63">
            <w:pPr>
              <w:jc w:val="center"/>
            </w:pPr>
            <w:r>
              <w:t>5.6</w:t>
            </w:r>
          </w:p>
        </w:tc>
        <w:tc>
          <w:tcPr>
            <w:tcW w:w="810" w:type="dxa"/>
            <w:vAlign w:val="center"/>
          </w:tcPr>
          <w:p w14:paraId="73E73B83" w14:textId="77777777" w:rsidR="005E468C" w:rsidRDefault="005E468C" w:rsidP="000B4E63">
            <w:pPr>
              <w:jc w:val="center"/>
            </w:pPr>
            <w:r>
              <w:t>9.5</w:t>
            </w:r>
          </w:p>
        </w:tc>
      </w:tr>
      <w:tr w:rsidR="00936615" w14:paraId="603DD5A8" w14:textId="77777777" w:rsidTr="00936615">
        <w:trPr>
          <w:jc w:val="center"/>
        </w:trPr>
        <w:tc>
          <w:tcPr>
            <w:tcW w:w="1345" w:type="dxa"/>
            <w:vMerge w:val="restart"/>
            <w:vAlign w:val="center"/>
          </w:tcPr>
          <w:p w14:paraId="3CE587EE" w14:textId="77777777" w:rsidR="00936615" w:rsidRDefault="00936615" w:rsidP="008D78A5">
            <w:pPr>
              <w:jc w:val="center"/>
            </w:pPr>
            <w:r>
              <w:t>IEA</w:t>
            </w:r>
          </w:p>
          <w:p w14:paraId="79E36A1D" w14:textId="77777777" w:rsidR="00936615" w:rsidRPr="008D78A5" w:rsidRDefault="00936615" w:rsidP="008D78A5">
            <w:pPr>
              <w:autoSpaceDE w:val="0"/>
              <w:autoSpaceDN w:val="0"/>
              <w:adjustRightInd w:val="0"/>
              <w:jc w:val="center"/>
              <w:rPr>
                <w:i/>
                <w:iCs/>
              </w:rPr>
            </w:pPr>
            <w:r w:rsidRPr="008D78A5">
              <w:rPr>
                <w:i/>
                <w:iCs/>
              </w:rPr>
              <w:lastRenderedPageBreak/>
              <w:t>Methane Tracker 2020</w:t>
            </w:r>
          </w:p>
        </w:tc>
        <w:tc>
          <w:tcPr>
            <w:tcW w:w="3600" w:type="dxa"/>
            <w:vMerge w:val="restart"/>
            <w:vAlign w:val="center"/>
          </w:tcPr>
          <w:p w14:paraId="738C2F6A" w14:textId="29CB5E0A" w:rsidR="00936615" w:rsidRPr="001726E4" w:rsidRDefault="00B1436C" w:rsidP="008D78A5">
            <w:pPr>
              <w:autoSpaceDE w:val="0"/>
              <w:autoSpaceDN w:val="0"/>
              <w:adjustRightInd w:val="0"/>
              <w:jc w:val="center"/>
              <w:rPr>
                <w:i/>
                <w:iCs/>
              </w:rPr>
            </w:pPr>
            <w:hyperlink r:id="rId8" w:history="1">
              <w:r w:rsidR="00936615" w:rsidRPr="008D78A5">
                <w:rPr>
                  <w:rStyle w:val="Hyperlink"/>
                  <w:i/>
                  <w:iCs/>
                </w:rPr>
                <w:t>https://www.iea.org/reports/methane-tracker-2020</w:t>
              </w:r>
            </w:hyperlink>
          </w:p>
        </w:tc>
        <w:tc>
          <w:tcPr>
            <w:tcW w:w="1140" w:type="dxa"/>
            <w:vAlign w:val="center"/>
          </w:tcPr>
          <w:p w14:paraId="6403DAE2" w14:textId="2A7BD94A" w:rsidR="00936615" w:rsidRDefault="00936615" w:rsidP="008D78A5">
            <w:pPr>
              <w:jc w:val="center"/>
            </w:pPr>
            <w:r>
              <w:t xml:space="preserve">US Oil &amp; Natural </w:t>
            </w:r>
            <w:r>
              <w:lastRenderedPageBreak/>
              <w:t>Gas Systems</w:t>
            </w:r>
          </w:p>
        </w:tc>
        <w:tc>
          <w:tcPr>
            <w:tcW w:w="1110" w:type="dxa"/>
            <w:vAlign w:val="center"/>
          </w:tcPr>
          <w:p w14:paraId="02F1072B" w14:textId="5FAA10F6" w:rsidR="00936615" w:rsidRDefault="00936615" w:rsidP="008D78A5">
            <w:pPr>
              <w:jc w:val="center"/>
            </w:pPr>
            <w:r>
              <w:lastRenderedPageBreak/>
              <w:t>2019</w:t>
            </w:r>
          </w:p>
        </w:tc>
        <w:tc>
          <w:tcPr>
            <w:tcW w:w="853" w:type="dxa"/>
            <w:vAlign w:val="center"/>
          </w:tcPr>
          <w:p w14:paraId="73ACA1C8" w14:textId="00A09E5B" w:rsidR="00936615" w:rsidRDefault="00936615" w:rsidP="008D78A5">
            <w:pPr>
              <w:jc w:val="center"/>
            </w:pPr>
            <w:r>
              <w:t>11.38</w:t>
            </w:r>
          </w:p>
        </w:tc>
        <w:tc>
          <w:tcPr>
            <w:tcW w:w="677" w:type="dxa"/>
            <w:vAlign w:val="center"/>
          </w:tcPr>
          <w:p w14:paraId="40C77975" w14:textId="77777777" w:rsidR="00936615" w:rsidRDefault="00936615" w:rsidP="008D78A5">
            <w:pPr>
              <w:jc w:val="center"/>
            </w:pPr>
          </w:p>
        </w:tc>
        <w:tc>
          <w:tcPr>
            <w:tcW w:w="810" w:type="dxa"/>
            <w:vAlign w:val="center"/>
          </w:tcPr>
          <w:p w14:paraId="3F8B5B64" w14:textId="77777777" w:rsidR="00936615" w:rsidRDefault="00936615" w:rsidP="008D78A5">
            <w:pPr>
              <w:jc w:val="center"/>
            </w:pPr>
          </w:p>
        </w:tc>
      </w:tr>
      <w:tr w:rsidR="00936615" w14:paraId="53071F00" w14:textId="77777777" w:rsidTr="00936615">
        <w:trPr>
          <w:jc w:val="center"/>
        </w:trPr>
        <w:tc>
          <w:tcPr>
            <w:tcW w:w="1345" w:type="dxa"/>
            <w:vMerge/>
            <w:vAlign w:val="center"/>
          </w:tcPr>
          <w:p w14:paraId="2171E783" w14:textId="77777777" w:rsidR="00936615" w:rsidRPr="001726E4" w:rsidRDefault="00936615" w:rsidP="008D78A5">
            <w:pPr>
              <w:autoSpaceDE w:val="0"/>
              <w:autoSpaceDN w:val="0"/>
              <w:adjustRightInd w:val="0"/>
              <w:jc w:val="center"/>
              <w:rPr>
                <w:i/>
                <w:iCs/>
              </w:rPr>
            </w:pPr>
          </w:p>
        </w:tc>
        <w:tc>
          <w:tcPr>
            <w:tcW w:w="3600" w:type="dxa"/>
            <w:vMerge/>
            <w:vAlign w:val="center"/>
          </w:tcPr>
          <w:p w14:paraId="07062A7A" w14:textId="3A31BECF" w:rsidR="00936615" w:rsidRPr="001726E4" w:rsidRDefault="00936615" w:rsidP="008D78A5">
            <w:pPr>
              <w:autoSpaceDE w:val="0"/>
              <w:autoSpaceDN w:val="0"/>
              <w:adjustRightInd w:val="0"/>
              <w:jc w:val="center"/>
              <w:rPr>
                <w:i/>
                <w:iCs/>
              </w:rPr>
            </w:pPr>
          </w:p>
        </w:tc>
        <w:tc>
          <w:tcPr>
            <w:tcW w:w="1140" w:type="dxa"/>
            <w:vAlign w:val="center"/>
          </w:tcPr>
          <w:p w14:paraId="12983C00" w14:textId="6C4BBB61" w:rsidR="00936615" w:rsidRDefault="00936615" w:rsidP="008D78A5">
            <w:pPr>
              <w:jc w:val="center"/>
            </w:pPr>
            <w:r>
              <w:t>US Natural Gas System</w:t>
            </w:r>
          </w:p>
        </w:tc>
        <w:tc>
          <w:tcPr>
            <w:tcW w:w="1110" w:type="dxa"/>
            <w:vAlign w:val="center"/>
          </w:tcPr>
          <w:p w14:paraId="75428FE2" w14:textId="612483C9" w:rsidR="00936615" w:rsidRDefault="00936615" w:rsidP="008D78A5">
            <w:pPr>
              <w:jc w:val="center"/>
            </w:pPr>
            <w:r>
              <w:t>2019</w:t>
            </w:r>
          </w:p>
        </w:tc>
        <w:tc>
          <w:tcPr>
            <w:tcW w:w="853" w:type="dxa"/>
            <w:vAlign w:val="center"/>
          </w:tcPr>
          <w:p w14:paraId="1596C0AC" w14:textId="0EE2345A" w:rsidR="00936615" w:rsidRDefault="00936615" w:rsidP="008D78A5">
            <w:pPr>
              <w:jc w:val="center"/>
            </w:pPr>
            <w:r>
              <w:t>7.95</w:t>
            </w:r>
          </w:p>
        </w:tc>
        <w:tc>
          <w:tcPr>
            <w:tcW w:w="677" w:type="dxa"/>
            <w:vAlign w:val="center"/>
          </w:tcPr>
          <w:p w14:paraId="536A4BCB" w14:textId="77777777" w:rsidR="00936615" w:rsidRDefault="00936615" w:rsidP="008D78A5">
            <w:pPr>
              <w:jc w:val="center"/>
            </w:pPr>
          </w:p>
        </w:tc>
        <w:tc>
          <w:tcPr>
            <w:tcW w:w="810" w:type="dxa"/>
            <w:vAlign w:val="center"/>
          </w:tcPr>
          <w:p w14:paraId="2FEA8543" w14:textId="77777777" w:rsidR="00936615" w:rsidRDefault="00936615" w:rsidP="008D78A5">
            <w:pPr>
              <w:jc w:val="center"/>
            </w:pPr>
          </w:p>
        </w:tc>
      </w:tr>
      <w:tr w:rsidR="00936615" w14:paraId="10762A54" w14:textId="77777777" w:rsidTr="00936615">
        <w:trPr>
          <w:jc w:val="center"/>
        </w:trPr>
        <w:tc>
          <w:tcPr>
            <w:tcW w:w="1345" w:type="dxa"/>
            <w:vMerge w:val="restart"/>
            <w:vAlign w:val="center"/>
          </w:tcPr>
          <w:p w14:paraId="352EA8AD" w14:textId="77777777" w:rsidR="00936615" w:rsidRDefault="00936615" w:rsidP="008D78A5">
            <w:pPr>
              <w:jc w:val="center"/>
            </w:pPr>
            <w:r>
              <w:t>EPA</w:t>
            </w:r>
          </w:p>
        </w:tc>
        <w:tc>
          <w:tcPr>
            <w:tcW w:w="3600" w:type="dxa"/>
            <w:vMerge w:val="restart"/>
            <w:vAlign w:val="center"/>
          </w:tcPr>
          <w:p w14:paraId="2011A15A" w14:textId="6D74CECE" w:rsidR="00936615" w:rsidRPr="00142072" w:rsidRDefault="00936615" w:rsidP="008D78A5">
            <w:pPr>
              <w:autoSpaceDE w:val="0"/>
              <w:autoSpaceDN w:val="0"/>
              <w:adjustRightInd w:val="0"/>
              <w:jc w:val="center"/>
              <w:rPr>
                <w:rFonts w:cs="AdvOT863180fb"/>
                <w:i/>
                <w:iCs/>
                <w:color w:val="000000"/>
              </w:rPr>
            </w:pPr>
            <w:r w:rsidRPr="001726E4">
              <w:rPr>
                <w:i/>
                <w:iCs/>
              </w:rPr>
              <w:t>Inventory of Greenhouse Gas Emissions and Sinks</w:t>
            </w:r>
            <w:r>
              <w:rPr>
                <w:i/>
                <w:iCs/>
              </w:rPr>
              <w:t>: 1990-2017</w:t>
            </w:r>
          </w:p>
        </w:tc>
        <w:tc>
          <w:tcPr>
            <w:tcW w:w="1140" w:type="dxa"/>
            <w:vAlign w:val="center"/>
          </w:tcPr>
          <w:p w14:paraId="5F67C320" w14:textId="2ED19D5E" w:rsidR="00936615" w:rsidRDefault="00936615" w:rsidP="008D78A5">
            <w:pPr>
              <w:jc w:val="center"/>
            </w:pPr>
            <w:r>
              <w:t>US Oil &amp; Natural Gas Systems</w:t>
            </w:r>
          </w:p>
        </w:tc>
        <w:tc>
          <w:tcPr>
            <w:tcW w:w="1110" w:type="dxa"/>
            <w:vAlign w:val="center"/>
          </w:tcPr>
          <w:p w14:paraId="2AB57CC4" w14:textId="491B3699" w:rsidR="00936615" w:rsidRDefault="00936615" w:rsidP="008D78A5">
            <w:pPr>
              <w:jc w:val="center"/>
            </w:pPr>
            <w:r>
              <w:t>2017</w:t>
            </w:r>
          </w:p>
        </w:tc>
        <w:tc>
          <w:tcPr>
            <w:tcW w:w="853" w:type="dxa"/>
            <w:vAlign w:val="center"/>
          </w:tcPr>
          <w:p w14:paraId="0F803263" w14:textId="1B0E0E61" w:rsidR="00936615" w:rsidRDefault="00936615" w:rsidP="008D78A5">
            <w:pPr>
              <w:jc w:val="center"/>
            </w:pPr>
            <w:r>
              <w:t>8.41</w:t>
            </w:r>
          </w:p>
        </w:tc>
        <w:tc>
          <w:tcPr>
            <w:tcW w:w="677" w:type="dxa"/>
            <w:vAlign w:val="center"/>
          </w:tcPr>
          <w:p w14:paraId="4419C8DF" w14:textId="054B850D" w:rsidR="00936615" w:rsidRDefault="00936615" w:rsidP="008D78A5">
            <w:pPr>
              <w:jc w:val="center"/>
            </w:pPr>
            <w:r>
              <w:t>6.90</w:t>
            </w:r>
          </w:p>
        </w:tc>
        <w:tc>
          <w:tcPr>
            <w:tcW w:w="810" w:type="dxa"/>
            <w:vAlign w:val="center"/>
          </w:tcPr>
          <w:p w14:paraId="2C3BE2BD" w14:textId="35C229DA" w:rsidR="00936615" w:rsidRDefault="00936615" w:rsidP="008D78A5">
            <w:pPr>
              <w:jc w:val="center"/>
            </w:pPr>
            <w:r>
              <w:t>10.05</w:t>
            </w:r>
          </w:p>
        </w:tc>
      </w:tr>
      <w:tr w:rsidR="00936615" w14:paraId="1FA0D35C" w14:textId="77777777" w:rsidTr="00936615">
        <w:trPr>
          <w:jc w:val="center"/>
        </w:trPr>
        <w:tc>
          <w:tcPr>
            <w:tcW w:w="1345" w:type="dxa"/>
            <w:vMerge/>
            <w:vAlign w:val="center"/>
          </w:tcPr>
          <w:p w14:paraId="20C2D512" w14:textId="77777777" w:rsidR="00936615" w:rsidRPr="00142072" w:rsidRDefault="00936615" w:rsidP="008D78A5">
            <w:pPr>
              <w:autoSpaceDE w:val="0"/>
              <w:autoSpaceDN w:val="0"/>
              <w:adjustRightInd w:val="0"/>
              <w:jc w:val="center"/>
              <w:rPr>
                <w:rFonts w:cs="AdvOT863180fb"/>
                <w:i/>
                <w:iCs/>
                <w:color w:val="000000"/>
              </w:rPr>
            </w:pPr>
          </w:p>
        </w:tc>
        <w:tc>
          <w:tcPr>
            <w:tcW w:w="3600" w:type="dxa"/>
            <w:vMerge/>
            <w:vAlign w:val="center"/>
          </w:tcPr>
          <w:p w14:paraId="34FF0ED4" w14:textId="6EE9F758" w:rsidR="00936615" w:rsidRPr="00142072" w:rsidRDefault="00936615" w:rsidP="008D78A5">
            <w:pPr>
              <w:autoSpaceDE w:val="0"/>
              <w:autoSpaceDN w:val="0"/>
              <w:adjustRightInd w:val="0"/>
              <w:jc w:val="center"/>
              <w:rPr>
                <w:rFonts w:cs="AdvOT863180fb"/>
                <w:i/>
                <w:iCs/>
                <w:color w:val="000000"/>
              </w:rPr>
            </w:pPr>
          </w:p>
        </w:tc>
        <w:tc>
          <w:tcPr>
            <w:tcW w:w="1140" w:type="dxa"/>
            <w:vAlign w:val="center"/>
          </w:tcPr>
          <w:p w14:paraId="37E8A9C4" w14:textId="2600FC2A" w:rsidR="00936615" w:rsidRDefault="00936615" w:rsidP="008D78A5">
            <w:pPr>
              <w:jc w:val="center"/>
            </w:pPr>
            <w:r>
              <w:t>US Natural Gas System</w:t>
            </w:r>
          </w:p>
        </w:tc>
        <w:tc>
          <w:tcPr>
            <w:tcW w:w="1110" w:type="dxa"/>
            <w:vAlign w:val="center"/>
          </w:tcPr>
          <w:p w14:paraId="73C59A5E" w14:textId="5D74399A" w:rsidR="00936615" w:rsidRDefault="00936615" w:rsidP="008D78A5">
            <w:pPr>
              <w:jc w:val="center"/>
            </w:pPr>
            <w:r>
              <w:t>2017</w:t>
            </w:r>
          </w:p>
        </w:tc>
        <w:tc>
          <w:tcPr>
            <w:tcW w:w="853" w:type="dxa"/>
            <w:vAlign w:val="center"/>
          </w:tcPr>
          <w:p w14:paraId="7EC00400" w14:textId="2C0E3D8A" w:rsidR="00936615" w:rsidRDefault="00936615" w:rsidP="008D78A5">
            <w:pPr>
              <w:jc w:val="center"/>
            </w:pPr>
            <w:r>
              <w:t>6.62</w:t>
            </w:r>
          </w:p>
        </w:tc>
        <w:tc>
          <w:tcPr>
            <w:tcW w:w="677" w:type="dxa"/>
            <w:vAlign w:val="center"/>
          </w:tcPr>
          <w:p w14:paraId="27667DF2" w14:textId="2A5A2913" w:rsidR="00936615" w:rsidRDefault="00936615" w:rsidP="008D78A5">
            <w:pPr>
              <w:jc w:val="center"/>
            </w:pPr>
            <w:r>
              <w:t>5.56</w:t>
            </w:r>
          </w:p>
        </w:tc>
        <w:tc>
          <w:tcPr>
            <w:tcW w:w="810" w:type="dxa"/>
            <w:vAlign w:val="center"/>
          </w:tcPr>
          <w:p w14:paraId="21FA6FD4" w14:textId="18C18F9B" w:rsidR="00936615" w:rsidRDefault="00936615" w:rsidP="008D78A5">
            <w:pPr>
              <w:jc w:val="center"/>
            </w:pPr>
            <w:r>
              <w:t>7.75</w:t>
            </w:r>
          </w:p>
        </w:tc>
      </w:tr>
    </w:tbl>
    <w:p w14:paraId="38175A7C" w14:textId="77777777" w:rsidR="006610D9" w:rsidRDefault="006610D9" w:rsidP="00B05650">
      <w:pPr>
        <w:autoSpaceDE w:val="0"/>
        <w:autoSpaceDN w:val="0"/>
        <w:adjustRightInd w:val="0"/>
        <w:spacing w:after="0" w:line="240" w:lineRule="auto"/>
      </w:pPr>
    </w:p>
    <w:p w14:paraId="086A3385" w14:textId="38BC759B" w:rsidR="00936613" w:rsidRPr="005A0AE0" w:rsidRDefault="005A0AE0" w:rsidP="00B05650">
      <w:pPr>
        <w:autoSpaceDE w:val="0"/>
        <w:autoSpaceDN w:val="0"/>
        <w:adjustRightInd w:val="0"/>
        <w:spacing w:after="0" w:line="240" w:lineRule="auto"/>
        <w:rPr>
          <w:b/>
          <w:bCs/>
        </w:rPr>
      </w:pPr>
      <w:r w:rsidRPr="005A0AE0">
        <w:rPr>
          <w:b/>
          <w:bCs/>
        </w:rPr>
        <w:t xml:space="preserve">Table </w:t>
      </w:r>
      <w:r w:rsidR="009F13C8">
        <w:rPr>
          <w:b/>
          <w:bCs/>
        </w:rPr>
        <w:t>5</w:t>
      </w:r>
      <w:r w:rsidRPr="005A0AE0">
        <w:rPr>
          <w:b/>
          <w:bCs/>
        </w:rPr>
        <w:t xml:space="preserve">: Upstream </w:t>
      </w:r>
      <w:r w:rsidR="009F13C8">
        <w:rPr>
          <w:b/>
          <w:bCs/>
        </w:rPr>
        <w:t>m</w:t>
      </w:r>
      <w:r w:rsidRPr="005A0AE0">
        <w:rPr>
          <w:b/>
          <w:bCs/>
        </w:rPr>
        <w:t xml:space="preserve">ethane </w:t>
      </w:r>
      <w:r w:rsidR="009F13C8">
        <w:rPr>
          <w:b/>
          <w:bCs/>
        </w:rPr>
        <w:t>e</w:t>
      </w:r>
      <w:r w:rsidRPr="005A0AE0">
        <w:rPr>
          <w:b/>
          <w:bCs/>
        </w:rPr>
        <w:t>missions</w:t>
      </w:r>
      <w:r w:rsidR="009F13C8">
        <w:rPr>
          <w:b/>
          <w:bCs/>
        </w:rPr>
        <w:t>-</w:t>
      </w:r>
      <w:r w:rsidRPr="005A0AE0">
        <w:rPr>
          <w:b/>
          <w:bCs/>
        </w:rPr>
        <w:t xml:space="preserve">EIS for Tacoma LNG and </w:t>
      </w:r>
      <w:r w:rsidR="009F13C8">
        <w:rPr>
          <w:b/>
          <w:bCs/>
        </w:rPr>
        <w:t xml:space="preserve">the </w:t>
      </w:r>
      <w:r w:rsidRPr="005A0AE0">
        <w:rPr>
          <w:b/>
          <w:bCs/>
        </w:rPr>
        <w:t>Kalama Export Facility</w:t>
      </w:r>
    </w:p>
    <w:p w14:paraId="5D1A4F3F" w14:textId="555F03B8" w:rsidR="00936613" w:rsidRDefault="00936613" w:rsidP="00B05650">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3116"/>
        <w:gridCol w:w="1739"/>
        <w:gridCol w:w="1890"/>
      </w:tblGrid>
      <w:tr w:rsidR="00936613" w14:paraId="0745366C" w14:textId="77777777" w:rsidTr="009F13C8">
        <w:tc>
          <w:tcPr>
            <w:tcW w:w="3116" w:type="dxa"/>
            <w:shd w:val="clear" w:color="auto" w:fill="D3BF7B" w:themeFill="text2" w:themeFillShade="BF"/>
            <w:vAlign w:val="center"/>
          </w:tcPr>
          <w:p w14:paraId="5B874C1C" w14:textId="15EBEE57" w:rsidR="00936613" w:rsidRPr="009F13C8" w:rsidRDefault="005A0AE0" w:rsidP="005A0AE0">
            <w:pPr>
              <w:autoSpaceDE w:val="0"/>
              <w:autoSpaceDN w:val="0"/>
              <w:adjustRightInd w:val="0"/>
              <w:jc w:val="center"/>
              <w:rPr>
                <w:b/>
                <w:bCs/>
              </w:rPr>
            </w:pPr>
            <w:r w:rsidRPr="009F13C8">
              <w:rPr>
                <w:b/>
                <w:bCs/>
              </w:rPr>
              <w:t>Upstream Methane Emissions</w:t>
            </w:r>
          </w:p>
        </w:tc>
        <w:tc>
          <w:tcPr>
            <w:tcW w:w="1739" w:type="dxa"/>
            <w:shd w:val="clear" w:color="auto" w:fill="D3BF7B" w:themeFill="text2" w:themeFillShade="BF"/>
            <w:vAlign w:val="center"/>
          </w:tcPr>
          <w:p w14:paraId="707FB186" w14:textId="4834738E" w:rsidR="00936613" w:rsidRPr="009F13C8" w:rsidRDefault="005A0AE0" w:rsidP="005A0AE0">
            <w:pPr>
              <w:autoSpaceDE w:val="0"/>
              <w:autoSpaceDN w:val="0"/>
              <w:adjustRightInd w:val="0"/>
              <w:jc w:val="center"/>
              <w:rPr>
                <w:b/>
                <w:bCs/>
              </w:rPr>
            </w:pPr>
            <w:r w:rsidRPr="009F13C8">
              <w:rPr>
                <w:b/>
                <w:bCs/>
              </w:rPr>
              <w:t>g/MMBtu (LHV)</w:t>
            </w:r>
          </w:p>
        </w:tc>
        <w:tc>
          <w:tcPr>
            <w:tcW w:w="1890" w:type="dxa"/>
            <w:shd w:val="clear" w:color="auto" w:fill="D3BF7B" w:themeFill="text2" w:themeFillShade="BF"/>
            <w:vAlign w:val="center"/>
          </w:tcPr>
          <w:p w14:paraId="6DCA5C56" w14:textId="3FA0C235" w:rsidR="00936613" w:rsidRPr="009F13C8" w:rsidRDefault="005A0AE0" w:rsidP="005A0AE0">
            <w:pPr>
              <w:autoSpaceDE w:val="0"/>
              <w:autoSpaceDN w:val="0"/>
              <w:adjustRightInd w:val="0"/>
              <w:jc w:val="center"/>
              <w:rPr>
                <w:b/>
                <w:bCs/>
              </w:rPr>
            </w:pPr>
            <w:r w:rsidRPr="009F13C8">
              <w:rPr>
                <w:b/>
                <w:bCs/>
              </w:rPr>
              <w:t>g/MMBtu (HHV)</w:t>
            </w:r>
          </w:p>
        </w:tc>
      </w:tr>
      <w:tr w:rsidR="00936613" w14:paraId="27945BBA" w14:textId="77777777" w:rsidTr="009F13C8">
        <w:tc>
          <w:tcPr>
            <w:tcW w:w="3116" w:type="dxa"/>
            <w:vAlign w:val="center"/>
          </w:tcPr>
          <w:p w14:paraId="0545855C" w14:textId="483B2398" w:rsidR="00936613" w:rsidRDefault="005A0AE0" w:rsidP="005A0AE0">
            <w:pPr>
              <w:autoSpaceDE w:val="0"/>
              <w:autoSpaceDN w:val="0"/>
              <w:adjustRightInd w:val="0"/>
              <w:jc w:val="center"/>
            </w:pPr>
            <w:r>
              <w:t>GHGenius (BC inventory)</w:t>
            </w:r>
          </w:p>
        </w:tc>
        <w:tc>
          <w:tcPr>
            <w:tcW w:w="1739" w:type="dxa"/>
            <w:vAlign w:val="center"/>
          </w:tcPr>
          <w:p w14:paraId="5719CFC5" w14:textId="5F54F334" w:rsidR="00936613" w:rsidRDefault="005A0AE0" w:rsidP="005A0AE0">
            <w:pPr>
              <w:autoSpaceDE w:val="0"/>
              <w:autoSpaceDN w:val="0"/>
              <w:adjustRightInd w:val="0"/>
              <w:jc w:val="center"/>
            </w:pPr>
            <w:r>
              <w:t>153</w:t>
            </w:r>
          </w:p>
        </w:tc>
        <w:tc>
          <w:tcPr>
            <w:tcW w:w="1890" w:type="dxa"/>
            <w:vAlign w:val="center"/>
          </w:tcPr>
          <w:p w14:paraId="14449EFF" w14:textId="7AA03D2B" w:rsidR="00936613" w:rsidRDefault="005A0AE0" w:rsidP="005A0AE0">
            <w:pPr>
              <w:autoSpaceDE w:val="0"/>
              <w:autoSpaceDN w:val="0"/>
              <w:adjustRightInd w:val="0"/>
              <w:jc w:val="center"/>
            </w:pPr>
            <w:r>
              <w:t>138</w:t>
            </w:r>
          </w:p>
        </w:tc>
      </w:tr>
      <w:tr w:rsidR="00936613" w14:paraId="6A27D310" w14:textId="77777777" w:rsidTr="009F13C8">
        <w:tc>
          <w:tcPr>
            <w:tcW w:w="3116" w:type="dxa"/>
            <w:vAlign w:val="center"/>
          </w:tcPr>
          <w:p w14:paraId="018FC62A" w14:textId="48F75E6D" w:rsidR="00936613" w:rsidRDefault="005A0AE0" w:rsidP="005A0AE0">
            <w:pPr>
              <w:autoSpaceDE w:val="0"/>
              <w:autoSpaceDN w:val="0"/>
              <w:adjustRightInd w:val="0"/>
              <w:jc w:val="center"/>
            </w:pPr>
            <w:r>
              <w:t>GREET (NA Inventory)</w:t>
            </w:r>
          </w:p>
        </w:tc>
        <w:tc>
          <w:tcPr>
            <w:tcW w:w="1739" w:type="dxa"/>
            <w:vAlign w:val="center"/>
          </w:tcPr>
          <w:p w14:paraId="03B1F9B3" w14:textId="64253AED" w:rsidR="00936613" w:rsidRDefault="005A0AE0" w:rsidP="005A0AE0">
            <w:pPr>
              <w:autoSpaceDE w:val="0"/>
              <w:autoSpaceDN w:val="0"/>
              <w:adjustRightInd w:val="0"/>
              <w:jc w:val="center"/>
            </w:pPr>
            <w:r>
              <w:t>221</w:t>
            </w:r>
          </w:p>
        </w:tc>
        <w:tc>
          <w:tcPr>
            <w:tcW w:w="1890" w:type="dxa"/>
            <w:vAlign w:val="center"/>
          </w:tcPr>
          <w:p w14:paraId="5DC50398" w14:textId="0D4EA161" w:rsidR="00936613" w:rsidRDefault="005A0AE0" w:rsidP="005A0AE0">
            <w:pPr>
              <w:autoSpaceDE w:val="0"/>
              <w:autoSpaceDN w:val="0"/>
              <w:adjustRightInd w:val="0"/>
              <w:jc w:val="center"/>
            </w:pPr>
            <w:r>
              <w:t>200</w:t>
            </w:r>
          </w:p>
        </w:tc>
      </w:tr>
    </w:tbl>
    <w:p w14:paraId="391E8FE6" w14:textId="77777777" w:rsidR="00936613" w:rsidRDefault="00936613" w:rsidP="00B05650">
      <w:pPr>
        <w:autoSpaceDE w:val="0"/>
        <w:autoSpaceDN w:val="0"/>
        <w:adjustRightInd w:val="0"/>
        <w:spacing w:after="0" w:line="240" w:lineRule="auto"/>
      </w:pPr>
    </w:p>
    <w:p w14:paraId="23A4FAE4" w14:textId="020F347B" w:rsidR="00E268EB" w:rsidRDefault="009F7B6B" w:rsidP="00B05650">
      <w:pPr>
        <w:autoSpaceDE w:val="0"/>
        <w:autoSpaceDN w:val="0"/>
        <w:adjustRightInd w:val="0"/>
        <w:spacing w:after="0" w:line="240" w:lineRule="auto"/>
      </w:pPr>
      <w:r>
        <w:t>There is concern that</w:t>
      </w:r>
      <w:r w:rsidR="00337756">
        <w:t xml:space="preserve"> inventory-based</w:t>
      </w:r>
      <w:r w:rsidR="00B4261B">
        <w:t xml:space="preserve"> model</w:t>
      </w:r>
      <w:r w:rsidR="00337756">
        <w:t>s</w:t>
      </w:r>
      <w:r w:rsidR="00DF0D18">
        <w:t xml:space="preserve"> (EPA</w:t>
      </w:r>
      <w:r w:rsidR="00B04376">
        <w:t>, GHGenius</w:t>
      </w:r>
      <w:r w:rsidR="00DF0D18">
        <w:t xml:space="preserve">) </w:t>
      </w:r>
      <w:r w:rsidR="00337756">
        <w:t>are</w:t>
      </w:r>
      <w:r>
        <w:t xml:space="preserve"> significantly under-</w:t>
      </w:r>
      <w:r w:rsidR="00337756">
        <w:t>estimating</w:t>
      </w:r>
      <w:r>
        <w:t xml:space="preserve"> </w:t>
      </w:r>
      <w:r w:rsidR="00337756">
        <w:t xml:space="preserve">actual </w:t>
      </w:r>
      <w:r>
        <w:t xml:space="preserve">methane releases. </w:t>
      </w:r>
      <w:r w:rsidR="00B05650">
        <w:t xml:space="preserve">In early 2020, </w:t>
      </w:r>
      <w:r>
        <w:t>Natur</w:t>
      </w:r>
      <w:r w:rsidR="00DF0D18">
        <w:t>e</w:t>
      </w:r>
      <w:r>
        <w:t xml:space="preserve"> published a paper on global</w:t>
      </w:r>
      <w:r w:rsidR="00337756">
        <w:t>-wide</w:t>
      </w:r>
      <w:r>
        <w:t xml:space="preserve"> fossil methane emissions</w:t>
      </w:r>
      <w:r w:rsidR="00337756">
        <w:t>.</w:t>
      </w:r>
      <w:r w:rsidR="00337756">
        <w:rPr>
          <w:rStyle w:val="FootnoteReference"/>
        </w:rPr>
        <w:footnoteReference w:id="10"/>
      </w:r>
      <w:r w:rsidR="00B05650">
        <w:t xml:space="preserve"> </w:t>
      </w:r>
      <w:r w:rsidR="00B05650">
        <w:rPr>
          <w:rFonts w:ascii="Arial" w:hAnsi="Arial" w:cs="Arial"/>
          <w:sz w:val="20"/>
          <w:szCs w:val="20"/>
        </w:rPr>
        <w:t xml:space="preserve"> </w:t>
      </w:r>
      <w:r w:rsidR="00466B82">
        <w:t xml:space="preserve">Global </w:t>
      </w:r>
      <w:r w:rsidR="00E268EB">
        <w:t>fossil</w:t>
      </w:r>
      <w:r w:rsidR="00466B82">
        <w:t xml:space="preserve"> methane emission estimates are</w:t>
      </w:r>
      <w:r w:rsidR="00E268EB">
        <w:t xml:space="preserve"> </w:t>
      </w:r>
      <w:r w:rsidR="00B05650">
        <w:t>allocated</w:t>
      </w:r>
      <w:r w:rsidR="00E268EB">
        <w:t xml:space="preserve"> into source</w:t>
      </w:r>
      <w:r w:rsidR="00466B82">
        <w:t xml:space="preserve">-based </w:t>
      </w:r>
      <w:r w:rsidR="00E268EB">
        <w:t>categories based on inventory-based estimate</w:t>
      </w:r>
      <w:r w:rsidR="00466B82">
        <w:t>s for:</w:t>
      </w:r>
    </w:p>
    <w:p w14:paraId="32CFAFC2" w14:textId="77777777" w:rsidR="00051C25" w:rsidRPr="00B05650" w:rsidRDefault="00051C25" w:rsidP="00B05650">
      <w:pPr>
        <w:autoSpaceDE w:val="0"/>
        <w:autoSpaceDN w:val="0"/>
        <w:adjustRightInd w:val="0"/>
        <w:spacing w:after="0" w:line="240" w:lineRule="auto"/>
        <w:rPr>
          <w:rFonts w:ascii="Arial" w:hAnsi="Arial" w:cs="Arial"/>
          <w:sz w:val="20"/>
          <w:szCs w:val="20"/>
        </w:rPr>
      </w:pPr>
    </w:p>
    <w:p w14:paraId="2DBE5612" w14:textId="4E20C1D9" w:rsidR="00E268EB" w:rsidRDefault="00E268EB" w:rsidP="00E268EB">
      <w:pPr>
        <w:pStyle w:val="ListParagraph"/>
        <w:numPr>
          <w:ilvl w:val="0"/>
          <w:numId w:val="1"/>
        </w:numPr>
      </w:pPr>
      <w:r>
        <w:t>anthropogenic (</w:t>
      </w:r>
      <w:r w:rsidR="00DF0D18">
        <w:t xml:space="preserve">such as </w:t>
      </w:r>
      <w:r>
        <w:t>oil and gas)</w:t>
      </w:r>
    </w:p>
    <w:p w14:paraId="3791A4CE" w14:textId="0D8A4E06" w:rsidR="00E268EB" w:rsidRDefault="00E268EB" w:rsidP="00E268EB">
      <w:pPr>
        <w:pStyle w:val="ListParagraph"/>
        <w:numPr>
          <w:ilvl w:val="0"/>
          <w:numId w:val="1"/>
        </w:numPr>
      </w:pPr>
      <w:r>
        <w:t xml:space="preserve">natural geologic (such as seeps, mud volcanoes)  </w:t>
      </w:r>
    </w:p>
    <w:p w14:paraId="34328966" w14:textId="2852EE90" w:rsidR="007627EF" w:rsidRPr="007627EF" w:rsidRDefault="00DF0D18" w:rsidP="00DF0D18">
      <w:r>
        <w:t>Scientists</w:t>
      </w:r>
      <w:r w:rsidR="009F7B6B">
        <w:t xml:space="preserve"> used ice-core</w:t>
      </w:r>
      <w:r w:rsidR="00E268EB">
        <w:t xml:space="preserve"> samples to </w:t>
      </w:r>
      <w:r w:rsidR="00466B82">
        <w:t>study</w:t>
      </w:r>
      <w:r w:rsidR="00E268EB">
        <w:t xml:space="preserve"> </w:t>
      </w:r>
      <w:r w:rsidR="00B05650">
        <w:t xml:space="preserve">the </w:t>
      </w:r>
      <w:r w:rsidR="00E268EB">
        <w:t>natural geologic</w:t>
      </w:r>
      <w:r w:rsidR="00466B82">
        <w:t xml:space="preserve"> fossil</w:t>
      </w:r>
      <w:r w:rsidR="00E268EB">
        <w:t xml:space="preserve"> methane releases </w:t>
      </w:r>
      <w:r>
        <w:t>from</w:t>
      </w:r>
      <w:r w:rsidR="00E268EB">
        <w:t xml:space="preserve"> pre-industrial era years</w:t>
      </w:r>
      <w:r w:rsidR="009F13C8">
        <w:t>.</w:t>
      </w:r>
      <w:r>
        <w:t xml:space="preserve"> </w:t>
      </w:r>
      <w:r w:rsidR="009F13C8">
        <w:t xml:space="preserve">They found </w:t>
      </w:r>
      <w:r>
        <w:t xml:space="preserve">much lower natural emissions than the </w:t>
      </w:r>
      <w:r w:rsidR="00B05650">
        <w:t xml:space="preserve">current </w:t>
      </w:r>
      <w:r>
        <w:t>inventory studies report.</w:t>
      </w:r>
      <w:r w:rsidR="00E268EB">
        <w:t xml:space="preserve">   </w:t>
      </w:r>
      <w:r w:rsidR="00F65EFF">
        <w:t xml:space="preserve">This </w:t>
      </w:r>
      <w:r>
        <w:t>points to</w:t>
      </w:r>
      <w:r w:rsidR="00F65EFF">
        <w:t xml:space="preserve"> actual </w:t>
      </w:r>
      <w:r w:rsidR="00E268EB">
        <w:t xml:space="preserve">fossil methane emissions from anthropogenic sources </w:t>
      </w:r>
      <w:r>
        <w:t>– such as oil and gas - being</w:t>
      </w:r>
      <w:r w:rsidR="00E268EB">
        <w:t xml:space="preserve"> higher than </w:t>
      </w:r>
      <w:r w:rsidR="00F65EFF">
        <w:t xml:space="preserve">the what the </w:t>
      </w:r>
      <w:r w:rsidR="00E268EB">
        <w:t>bottoms-up inventory estimates</w:t>
      </w:r>
      <w:r w:rsidR="00F65EFF">
        <w:t xml:space="preserve"> produce.</w:t>
      </w:r>
      <w:r w:rsidR="007627EF">
        <w:t xml:space="preserve"> </w:t>
      </w:r>
    </w:p>
    <w:p w14:paraId="7BB6F616" w14:textId="28293490" w:rsidR="00F13774" w:rsidRDefault="00F13774" w:rsidP="00F13774">
      <w:pPr>
        <w:pStyle w:val="Heading1"/>
      </w:pPr>
      <w:bookmarkStart w:id="4" w:name="_Toc43052733"/>
      <w:r>
        <w:t>Standardization</w:t>
      </w:r>
      <w:r w:rsidR="00E77CB5">
        <w:t xml:space="preserve"> of Study </w:t>
      </w:r>
      <w:r>
        <w:t>Results</w:t>
      </w:r>
      <w:bookmarkEnd w:id="4"/>
    </w:p>
    <w:p w14:paraId="38904CEE" w14:textId="3431F7CB" w:rsidR="000C1624" w:rsidRDefault="00E77CB5" w:rsidP="00F13774">
      <w:r>
        <w:t xml:space="preserve">For each of the studies outlined in Table </w:t>
      </w:r>
      <w:r w:rsidR="009F13C8">
        <w:t>4</w:t>
      </w:r>
      <w:r w:rsidR="00B15A81">
        <w:t xml:space="preserve"> and </w:t>
      </w:r>
      <w:r w:rsidR="009F13C8">
        <w:t>5</w:t>
      </w:r>
      <w:r>
        <w:t xml:space="preserve">, a standardized upstream methane </w:t>
      </w:r>
      <w:r w:rsidR="0083312A">
        <w:t>release</w:t>
      </w:r>
      <w:r>
        <w:t xml:space="preserve"> rate - </w:t>
      </w:r>
      <w:r w:rsidRPr="00BF4E91">
        <w:rPr>
          <w:i/>
          <w:iCs/>
        </w:rPr>
        <w:t>L</w:t>
      </w:r>
      <w:r w:rsidRPr="00BF4E91">
        <w:rPr>
          <w:i/>
          <w:iCs/>
          <w:vertAlign w:val="subscript"/>
        </w:rPr>
        <w:t>d</w:t>
      </w:r>
      <w:r>
        <w:t xml:space="preserve"> - was calculated.  This value represents the </w:t>
      </w:r>
      <w:r w:rsidR="00530EAD">
        <w:t xml:space="preserve">percent </w:t>
      </w:r>
      <w:r>
        <w:t xml:space="preserve">of </w:t>
      </w:r>
      <w:r w:rsidR="00530EAD">
        <w:t xml:space="preserve">the delivered </w:t>
      </w:r>
      <w:r>
        <w:t>methane that is released</w:t>
      </w:r>
      <w:r w:rsidR="000E632A">
        <w:t xml:space="preserve"> </w:t>
      </w:r>
      <w:r w:rsidR="00530EAD">
        <w:t>upstream</w:t>
      </w:r>
      <w:r>
        <w:t xml:space="preserve">.  </w:t>
      </w:r>
      <w:r w:rsidR="00530EAD">
        <w:t>Each</w:t>
      </w:r>
      <w:r>
        <w:t xml:space="preserve"> stud</w:t>
      </w:r>
      <w:r w:rsidR="00530EAD">
        <w:t>y</w:t>
      </w:r>
      <w:r>
        <w:t xml:space="preserve"> estimate</w:t>
      </w:r>
      <w:r w:rsidR="00530EAD">
        <w:t>s</w:t>
      </w:r>
      <w:r>
        <w:t xml:space="preserve"> an overall amount of methane that was leaked or released to the atmosphere in a given emission year.  </w:t>
      </w:r>
      <w:r w:rsidR="0083312A">
        <w:t>By dividing this value by the total delivered methane in that year, a standardized value</w:t>
      </w:r>
      <w:r>
        <w:t xml:space="preserve"> </w:t>
      </w:r>
      <w:r w:rsidRPr="00BF4E91">
        <w:rPr>
          <w:i/>
          <w:iCs/>
        </w:rPr>
        <w:t>L</w:t>
      </w:r>
      <w:r w:rsidRPr="00BF4E91">
        <w:rPr>
          <w:i/>
          <w:iCs/>
          <w:vertAlign w:val="subscript"/>
        </w:rPr>
        <w:t>d</w:t>
      </w:r>
      <w:r w:rsidR="0083312A">
        <w:t xml:space="preserve"> can be computed and compared</w:t>
      </w:r>
      <w:r w:rsidR="00795F32">
        <w:t xml:space="preserve"> </w:t>
      </w:r>
      <w:r w:rsidR="0083312A">
        <w:lastRenderedPageBreak/>
        <w:t>across studies</w:t>
      </w:r>
      <w:r>
        <w:t>.  Th</w:t>
      </w:r>
      <w:r w:rsidR="006D3080">
        <w:t>e</w:t>
      </w:r>
      <w:r>
        <w:t xml:space="preserve"> delivered methane value was derived from the EIA reported </w:t>
      </w:r>
      <w:r w:rsidR="00257C3F">
        <w:t xml:space="preserve">historic </w:t>
      </w:r>
      <w:r>
        <w:t>quantities of delivered natural gas</w:t>
      </w:r>
      <w:r w:rsidR="00257C3F">
        <w:rPr>
          <w:rStyle w:val="FootnoteReference"/>
        </w:rPr>
        <w:footnoteReference w:id="11"/>
      </w:r>
      <w:r>
        <w:t>.</w:t>
      </w:r>
      <w:r w:rsidR="00051C25">
        <w:t xml:space="preserve">  </w:t>
      </w:r>
    </w:p>
    <w:p w14:paraId="3E378D88" w14:textId="13C6A12A" w:rsidR="004B0AD3" w:rsidRPr="00092BF3" w:rsidRDefault="00051C25" w:rsidP="00F13774">
      <w:r>
        <w:t>For the GHGenius BC model, the</w:t>
      </w:r>
      <w:r w:rsidR="00B15A81">
        <w:t xml:space="preserve"> methane emission rate (g CH</w:t>
      </w:r>
      <w:r w:rsidR="00B15A81" w:rsidRPr="00B15A81">
        <w:rPr>
          <w:vertAlign w:val="subscript"/>
        </w:rPr>
        <w:t>4</w:t>
      </w:r>
      <w:r w:rsidR="00B15A81">
        <w:t>/MMBtu natural gas) was converted to a leakage rate using a value of 17,954 g CH</w:t>
      </w:r>
      <w:r w:rsidR="00B15A81" w:rsidRPr="00BF4E91">
        <w:rPr>
          <w:vertAlign w:val="subscript"/>
        </w:rPr>
        <w:t>4</w:t>
      </w:r>
      <w:r w:rsidR="00B15A81">
        <w:t xml:space="preserve"> per delivered MMBtu of delivered natural gas.</w:t>
      </w:r>
    </w:p>
    <w:p w14:paraId="5D14B7C0" w14:textId="3B636F29" w:rsidR="00A169AD" w:rsidRDefault="00A169AD" w:rsidP="00F13774">
      <w:pPr>
        <w:rPr>
          <w:b/>
          <w:bCs/>
        </w:rPr>
      </w:pPr>
      <w:r w:rsidRPr="00DF0D18">
        <w:rPr>
          <w:b/>
          <w:bCs/>
        </w:rPr>
        <w:t xml:space="preserve">Table </w:t>
      </w:r>
      <w:r w:rsidR="00BF4E91">
        <w:rPr>
          <w:b/>
          <w:bCs/>
        </w:rPr>
        <w:t>6</w:t>
      </w:r>
      <w:r w:rsidRPr="00DF0D18">
        <w:rPr>
          <w:b/>
          <w:bCs/>
        </w:rPr>
        <w:t xml:space="preserve">: </w:t>
      </w:r>
      <w:r>
        <w:rPr>
          <w:b/>
          <w:bCs/>
        </w:rPr>
        <w:t xml:space="preserve">Standardized </w:t>
      </w:r>
      <w:r w:rsidR="00BF4E91">
        <w:rPr>
          <w:b/>
          <w:bCs/>
        </w:rPr>
        <w:t>u</w:t>
      </w:r>
      <w:r w:rsidRPr="00DF0D18">
        <w:rPr>
          <w:b/>
          <w:bCs/>
        </w:rPr>
        <w:t xml:space="preserve">pstream </w:t>
      </w:r>
      <w:r w:rsidR="00BF4E91">
        <w:rPr>
          <w:b/>
          <w:bCs/>
        </w:rPr>
        <w:t>m</w:t>
      </w:r>
      <w:r w:rsidRPr="00DF0D18">
        <w:rPr>
          <w:b/>
          <w:bCs/>
        </w:rPr>
        <w:t xml:space="preserve">ethane </w:t>
      </w:r>
      <w:r w:rsidR="00BF4E91">
        <w:rPr>
          <w:b/>
          <w:bCs/>
        </w:rPr>
        <w:t>l</w:t>
      </w:r>
      <w:r>
        <w:rPr>
          <w:b/>
          <w:bCs/>
        </w:rPr>
        <w:t xml:space="preserve">eakage </w:t>
      </w:r>
      <w:r w:rsidR="00BF4E91">
        <w:rPr>
          <w:b/>
          <w:bCs/>
        </w:rPr>
        <w:t>r</w:t>
      </w:r>
      <w:r>
        <w:rPr>
          <w:b/>
          <w:bCs/>
        </w:rPr>
        <w:t>ates</w:t>
      </w:r>
    </w:p>
    <w:tbl>
      <w:tblPr>
        <w:tblStyle w:val="TableGrid"/>
        <w:tblW w:w="0" w:type="auto"/>
        <w:tblLook w:val="04A0" w:firstRow="1" w:lastRow="0" w:firstColumn="1" w:lastColumn="0" w:noHBand="0" w:noVBand="1"/>
      </w:tblPr>
      <w:tblGrid>
        <w:gridCol w:w="2155"/>
        <w:gridCol w:w="2160"/>
        <w:gridCol w:w="1890"/>
        <w:gridCol w:w="2520"/>
      </w:tblGrid>
      <w:tr w:rsidR="00903849" w:rsidRPr="00BF4E91" w14:paraId="36C990C1" w14:textId="77777777" w:rsidTr="00BF4E91">
        <w:trPr>
          <w:trHeight w:val="1160"/>
        </w:trPr>
        <w:tc>
          <w:tcPr>
            <w:tcW w:w="2155" w:type="dxa"/>
            <w:shd w:val="clear" w:color="auto" w:fill="D3BF7B" w:themeFill="text2" w:themeFillShade="BF"/>
            <w:vAlign w:val="center"/>
          </w:tcPr>
          <w:p w14:paraId="27843CEF" w14:textId="714D837B" w:rsidR="00903849" w:rsidRPr="00BF4E91" w:rsidRDefault="00903849" w:rsidP="00903849">
            <w:pPr>
              <w:jc w:val="center"/>
              <w:rPr>
                <w:b/>
                <w:bCs/>
              </w:rPr>
            </w:pPr>
            <w:r w:rsidRPr="00BF4E91">
              <w:rPr>
                <w:b/>
                <w:bCs/>
              </w:rPr>
              <w:t>Study Result</w:t>
            </w:r>
          </w:p>
        </w:tc>
        <w:tc>
          <w:tcPr>
            <w:tcW w:w="2160" w:type="dxa"/>
            <w:shd w:val="clear" w:color="auto" w:fill="D3BF7B" w:themeFill="text2" w:themeFillShade="BF"/>
            <w:vAlign w:val="center"/>
          </w:tcPr>
          <w:p w14:paraId="1722722C" w14:textId="46D19D35" w:rsidR="00903849" w:rsidRPr="00BF4E91" w:rsidRDefault="00903849" w:rsidP="00903849">
            <w:pPr>
              <w:jc w:val="center"/>
              <w:rPr>
                <w:b/>
                <w:bCs/>
              </w:rPr>
            </w:pPr>
            <w:r w:rsidRPr="00BF4E91">
              <w:rPr>
                <w:b/>
                <w:bCs/>
              </w:rPr>
              <w:t>Emission Source</w:t>
            </w:r>
          </w:p>
        </w:tc>
        <w:tc>
          <w:tcPr>
            <w:tcW w:w="1890" w:type="dxa"/>
            <w:shd w:val="clear" w:color="auto" w:fill="D3BF7B" w:themeFill="text2" w:themeFillShade="BF"/>
            <w:vAlign w:val="center"/>
          </w:tcPr>
          <w:p w14:paraId="1F82B131" w14:textId="079C9D55" w:rsidR="00903849" w:rsidRPr="00BF4E91" w:rsidRDefault="00903849" w:rsidP="00903849">
            <w:pPr>
              <w:jc w:val="center"/>
              <w:rPr>
                <w:b/>
                <w:bCs/>
              </w:rPr>
            </w:pPr>
            <w:r w:rsidRPr="00BF4E91">
              <w:rPr>
                <w:b/>
                <w:bCs/>
              </w:rPr>
              <w:t>Emission Year</w:t>
            </w:r>
          </w:p>
        </w:tc>
        <w:tc>
          <w:tcPr>
            <w:tcW w:w="2520" w:type="dxa"/>
            <w:shd w:val="clear" w:color="auto" w:fill="D3BF7B" w:themeFill="text2" w:themeFillShade="BF"/>
            <w:vAlign w:val="center"/>
          </w:tcPr>
          <w:p w14:paraId="73D468E8" w14:textId="1A362BE2" w:rsidR="00903849" w:rsidRPr="00BF4E91" w:rsidRDefault="00903849" w:rsidP="00BA65A9">
            <w:pPr>
              <w:jc w:val="center"/>
              <w:rPr>
                <w:rFonts w:cs="Arial"/>
                <w:b/>
                <w:bCs/>
                <w:color w:val="000000"/>
              </w:rPr>
            </w:pPr>
            <w:r w:rsidRPr="00BF4E91">
              <w:rPr>
                <w:rFonts w:cs="Arial"/>
                <w:b/>
                <w:bCs/>
                <w:i/>
                <w:iCs/>
                <w:color w:val="000000"/>
              </w:rPr>
              <w:t>L</w:t>
            </w:r>
            <w:r w:rsidRPr="00BF4E91">
              <w:rPr>
                <w:rFonts w:cs="Arial"/>
                <w:b/>
                <w:bCs/>
                <w:i/>
                <w:iCs/>
                <w:color w:val="000000"/>
                <w:vertAlign w:val="subscript"/>
              </w:rPr>
              <w:t>d</w:t>
            </w:r>
            <w:r w:rsidRPr="00BF4E91">
              <w:rPr>
                <w:rFonts w:cs="Arial"/>
                <w:b/>
                <w:bCs/>
                <w:color w:val="000000"/>
              </w:rPr>
              <w:t xml:space="preserve"> % </w:t>
            </w:r>
            <w:r w:rsidRPr="00BF4E91">
              <w:rPr>
                <w:rFonts w:cs="Arial"/>
                <w:b/>
                <w:bCs/>
                <w:color w:val="000000"/>
              </w:rPr>
              <w:br/>
              <w:t xml:space="preserve">percent of delivered methane that is </w:t>
            </w:r>
            <w:r w:rsidR="0083312A" w:rsidRPr="00BF4E91">
              <w:rPr>
                <w:rFonts w:cs="Arial"/>
                <w:b/>
                <w:bCs/>
                <w:color w:val="000000"/>
              </w:rPr>
              <w:t>released</w:t>
            </w:r>
            <w:r w:rsidRPr="00BF4E91">
              <w:rPr>
                <w:rFonts w:cs="Arial"/>
                <w:b/>
                <w:bCs/>
                <w:color w:val="000000"/>
              </w:rPr>
              <w:t xml:space="preserve"> upstream</w:t>
            </w:r>
          </w:p>
        </w:tc>
      </w:tr>
      <w:tr w:rsidR="00903849" w14:paraId="0CBAAD20" w14:textId="77777777" w:rsidTr="00BF4E91">
        <w:tc>
          <w:tcPr>
            <w:tcW w:w="2155" w:type="dxa"/>
            <w:vAlign w:val="center"/>
          </w:tcPr>
          <w:p w14:paraId="6DC31B58" w14:textId="09E2EE3C" w:rsidR="00903849" w:rsidRPr="00BA65A9" w:rsidRDefault="00903849" w:rsidP="00903849">
            <w:pPr>
              <w:jc w:val="center"/>
            </w:pPr>
            <w:r w:rsidRPr="00BA65A9">
              <w:t>EDF High</w:t>
            </w:r>
          </w:p>
        </w:tc>
        <w:tc>
          <w:tcPr>
            <w:tcW w:w="2160" w:type="dxa"/>
            <w:vAlign w:val="center"/>
          </w:tcPr>
          <w:p w14:paraId="70FCFA00" w14:textId="4E62DB02" w:rsidR="00903849" w:rsidRPr="00BA65A9" w:rsidRDefault="00BA65A9" w:rsidP="00903849">
            <w:pPr>
              <w:jc w:val="center"/>
            </w:pPr>
            <w:r w:rsidRPr="00BA65A9">
              <w:t>Oil &amp; NG</w:t>
            </w:r>
          </w:p>
        </w:tc>
        <w:tc>
          <w:tcPr>
            <w:tcW w:w="1890" w:type="dxa"/>
            <w:vAlign w:val="center"/>
          </w:tcPr>
          <w:p w14:paraId="340FB5BB" w14:textId="025C7D03" w:rsidR="00903849" w:rsidRPr="00BA65A9" w:rsidRDefault="00BA65A9" w:rsidP="00903849">
            <w:pPr>
              <w:jc w:val="center"/>
            </w:pPr>
            <w:r w:rsidRPr="00BA65A9">
              <w:t>2015</w:t>
            </w:r>
          </w:p>
        </w:tc>
        <w:tc>
          <w:tcPr>
            <w:tcW w:w="2520" w:type="dxa"/>
            <w:vAlign w:val="center"/>
          </w:tcPr>
          <w:p w14:paraId="59BB97C8" w14:textId="205C3E7A" w:rsidR="00903849" w:rsidRPr="00BA65A9" w:rsidRDefault="00BA65A9" w:rsidP="00903849">
            <w:pPr>
              <w:jc w:val="center"/>
            </w:pPr>
            <w:r w:rsidRPr="00BA65A9">
              <w:t>3.29</w:t>
            </w:r>
          </w:p>
        </w:tc>
      </w:tr>
      <w:tr w:rsidR="00903849" w14:paraId="7EED68EA" w14:textId="77777777" w:rsidTr="00BF4E91">
        <w:tc>
          <w:tcPr>
            <w:tcW w:w="2155" w:type="dxa"/>
            <w:vAlign w:val="center"/>
          </w:tcPr>
          <w:p w14:paraId="70905374" w14:textId="6B9C6037" w:rsidR="00903849" w:rsidRPr="00BA65A9" w:rsidRDefault="00903849" w:rsidP="00903849">
            <w:pPr>
              <w:jc w:val="center"/>
            </w:pPr>
            <w:r w:rsidRPr="00BA65A9">
              <w:t>EDF</w:t>
            </w:r>
          </w:p>
        </w:tc>
        <w:tc>
          <w:tcPr>
            <w:tcW w:w="2160" w:type="dxa"/>
            <w:vAlign w:val="center"/>
          </w:tcPr>
          <w:p w14:paraId="6BDE7722" w14:textId="4178BDF5" w:rsidR="00903849" w:rsidRPr="00BA65A9" w:rsidRDefault="00BA65A9" w:rsidP="00903849">
            <w:pPr>
              <w:jc w:val="center"/>
            </w:pPr>
            <w:r w:rsidRPr="00BA65A9">
              <w:t>Oil &amp; NG</w:t>
            </w:r>
          </w:p>
        </w:tc>
        <w:tc>
          <w:tcPr>
            <w:tcW w:w="1890" w:type="dxa"/>
            <w:vAlign w:val="center"/>
          </w:tcPr>
          <w:p w14:paraId="508D4611" w14:textId="36837574" w:rsidR="00903849" w:rsidRPr="00BA65A9" w:rsidRDefault="00BA65A9" w:rsidP="00903849">
            <w:pPr>
              <w:jc w:val="center"/>
            </w:pPr>
            <w:r w:rsidRPr="00BA65A9">
              <w:t>2015</w:t>
            </w:r>
          </w:p>
        </w:tc>
        <w:tc>
          <w:tcPr>
            <w:tcW w:w="2520" w:type="dxa"/>
            <w:vAlign w:val="center"/>
          </w:tcPr>
          <w:p w14:paraId="56C5D79C" w14:textId="30FE67B3" w:rsidR="00903849" w:rsidRPr="00BA65A9" w:rsidRDefault="00BA65A9" w:rsidP="00903849">
            <w:pPr>
              <w:jc w:val="center"/>
            </w:pPr>
            <w:r w:rsidRPr="00BA65A9">
              <w:t>2.84</w:t>
            </w:r>
          </w:p>
        </w:tc>
      </w:tr>
      <w:tr w:rsidR="00903849" w14:paraId="3CF2BE25" w14:textId="77777777" w:rsidTr="00BF4E91">
        <w:tc>
          <w:tcPr>
            <w:tcW w:w="2155" w:type="dxa"/>
            <w:vAlign w:val="center"/>
          </w:tcPr>
          <w:p w14:paraId="74DED2C3" w14:textId="0A6826B2" w:rsidR="00903849" w:rsidRPr="00BA65A9" w:rsidRDefault="00903849" w:rsidP="00903849">
            <w:pPr>
              <w:jc w:val="center"/>
            </w:pPr>
            <w:r w:rsidRPr="00BA65A9">
              <w:t>EDF Low</w:t>
            </w:r>
          </w:p>
        </w:tc>
        <w:tc>
          <w:tcPr>
            <w:tcW w:w="2160" w:type="dxa"/>
            <w:vAlign w:val="center"/>
          </w:tcPr>
          <w:p w14:paraId="2348897D" w14:textId="501C3EDD" w:rsidR="00903849" w:rsidRPr="00BA65A9" w:rsidRDefault="00BA65A9" w:rsidP="00903849">
            <w:pPr>
              <w:jc w:val="center"/>
            </w:pPr>
            <w:r w:rsidRPr="00BA65A9">
              <w:t>Oil &amp; NG</w:t>
            </w:r>
          </w:p>
        </w:tc>
        <w:tc>
          <w:tcPr>
            <w:tcW w:w="1890" w:type="dxa"/>
            <w:vAlign w:val="center"/>
          </w:tcPr>
          <w:p w14:paraId="30CF439F" w14:textId="1D934324" w:rsidR="00903849" w:rsidRPr="00BA65A9" w:rsidRDefault="00BA65A9" w:rsidP="00903849">
            <w:pPr>
              <w:jc w:val="center"/>
            </w:pPr>
            <w:r w:rsidRPr="00BA65A9">
              <w:t>2015</w:t>
            </w:r>
          </w:p>
        </w:tc>
        <w:tc>
          <w:tcPr>
            <w:tcW w:w="2520" w:type="dxa"/>
            <w:vAlign w:val="center"/>
          </w:tcPr>
          <w:p w14:paraId="1A6201FB" w14:textId="0829C995" w:rsidR="00903849" w:rsidRPr="00BA65A9" w:rsidRDefault="00BA65A9" w:rsidP="00903849">
            <w:pPr>
              <w:jc w:val="center"/>
            </w:pPr>
            <w:r w:rsidRPr="00BA65A9">
              <w:t>2.47</w:t>
            </w:r>
          </w:p>
        </w:tc>
      </w:tr>
      <w:tr w:rsidR="00903849" w14:paraId="2B4E55E2" w14:textId="77777777" w:rsidTr="00BF4E91">
        <w:tc>
          <w:tcPr>
            <w:tcW w:w="2155" w:type="dxa"/>
            <w:vAlign w:val="center"/>
          </w:tcPr>
          <w:p w14:paraId="4775619D" w14:textId="2625AEF5" w:rsidR="00903849" w:rsidRPr="00BA65A9" w:rsidRDefault="00903849" w:rsidP="00903849">
            <w:pPr>
              <w:jc w:val="center"/>
            </w:pPr>
            <w:r w:rsidRPr="00BA65A9">
              <w:t>NETL/CMU High</w:t>
            </w:r>
          </w:p>
        </w:tc>
        <w:tc>
          <w:tcPr>
            <w:tcW w:w="2160" w:type="dxa"/>
            <w:vAlign w:val="center"/>
          </w:tcPr>
          <w:p w14:paraId="7D2EAB82" w14:textId="1DEC1A68" w:rsidR="00903849" w:rsidRPr="00BA65A9" w:rsidRDefault="00BA65A9" w:rsidP="00903849">
            <w:pPr>
              <w:jc w:val="center"/>
            </w:pPr>
            <w:r w:rsidRPr="00BA65A9">
              <w:t>NG only</w:t>
            </w:r>
          </w:p>
        </w:tc>
        <w:tc>
          <w:tcPr>
            <w:tcW w:w="1890" w:type="dxa"/>
            <w:vAlign w:val="center"/>
          </w:tcPr>
          <w:p w14:paraId="02769483" w14:textId="5503FB70" w:rsidR="00903849" w:rsidRPr="00BA65A9" w:rsidRDefault="00BA65A9" w:rsidP="00903849">
            <w:pPr>
              <w:jc w:val="center"/>
            </w:pPr>
            <w:r w:rsidRPr="00BA65A9">
              <w:t>2012</w:t>
            </w:r>
          </w:p>
        </w:tc>
        <w:tc>
          <w:tcPr>
            <w:tcW w:w="2520" w:type="dxa"/>
            <w:vAlign w:val="center"/>
          </w:tcPr>
          <w:p w14:paraId="1A2C29DA" w14:textId="7877307F" w:rsidR="00903849" w:rsidRPr="00BA65A9" w:rsidRDefault="00BA65A9" w:rsidP="00903849">
            <w:pPr>
              <w:jc w:val="center"/>
            </w:pPr>
            <w:r w:rsidRPr="00BA65A9">
              <w:t>2.18</w:t>
            </w:r>
          </w:p>
        </w:tc>
      </w:tr>
      <w:tr w:rsidR="00903849" w14:paraId="33A51DAD" w14:textId="77777777" w:rsidTr="00BF4E91">
        <w:tc>
          <w:tcPr>
            <w:tcW w:w="2155" w:type="dxa"/>
            <w:vAlign w:val="center"/>
          </w:tcPr>
          <w:p w14:paraId="774186BB" w14:textId="164B304C" w:rsidR="00903849" w:rsidRPr="00BA65A9" w:rsidRDefault="00903849" w:rsidP="00903849">
            <w:pPr>
              <w:jc w:val="center"/>
            </w:pPr>
            <w:r w:rsidRPr="00BA65A9">
              <w:t>EPA High</w:t>
            </w:r>
          </w:p>
        </w:tc>
        <w:tc>
          <w:tcPr>
            <w:tcW w:w="2160" w:type="dxa"/>
            <w:vAlign w:val="center"/>
          </w:tcPr>
          <w:p w14:paraId="27DAA6A7" w14:textId="39F0F0FF" w:rsidR="00903849" w:rsidRPr="00BA65A9" w:rsidRDefault="00BA65A9" w:rsidP="00903849">
            <w:pPr>
              <w:jc w:val="center"/>
            </w:pPr>
            <w:r w:rsidRPr="00BA65A9">
              <w:t>Oil &amp; NG</w:t>
            </w:r>
          </w:p>
        </w:tc>
        <w:tc>
          <w:tcPr>
            <w:tcW w:w="1890" w:type="dxa"/>
            <w:vAlign w:val="center"/>
          </w:tcPr>
          <w:p w14:paraId="0A380BBE" w14:textId="36075C4F" w:rsidR="00903849" w:rsidRPr="00BA65A9" w:rsidRDefault="00BA65A9" w:rsidP="00903849">
            <w:pPr>
              <w:jc w:val="center"/>
            </w:pPr>
            <w:r w:rsidRPr="00BA65A9">
              <w:t>2017</w:t>
            </w:r>
          </w:p>
        </w:tc>
        <w:tc>
          <w:tcPr>
            <w:tcW w:w="2520" w:type="dxa"/>
            <w:vAlign w:val="center"/>
          </w:tcPr>
          <w:p w14:paraId="23273EE8" w14:textId="71A719C5" w:rsidR="00903849" w:rsidRPr="00BA65A9" w:rsidRDefault="00BA65A9" w:rsidP="00903849">
            <w:pPr>
              <w:jc w:val="center"/>
            </w:pPr>
            <w:r w:rsidRPr="00BA65A9">
              <w:t>2.18</w:t>
            </w:r>
          </w:p>
        </w:tc>
      </w:tr>
      <w:tr w:rsidR="00903849" w14:paraId="0D7CAFD4" w14:textId="77777777" w:rsidTr="00BF4E91">
        <w:tc>
          <w:tcPr>
            <w:tcW w:w="2155" w:type="dxa"/>
            <w:vAlign w:val="center"/>
          </w:tcPr>
          <w:p w14:paraId="6070560E" w14:textId="27423BAC" w:rsidR="00903849" w:rsidRPr="00BA65A9" w:rsidRDefault="00903849" w:rsidP="00903849">
            <w:pPr>
              <w:jc w:val="center"/>
            </w:pPr>
            <w:r w:rsidRPr="00BA65A9">
              <w:t>IEA</w:t>
            </w:r>
          </w:p>
        </w:tc>
        <w:tc>
          <w:tcPr>
            <w:tcW w:w="2160" w:type="dxa"/>
            <w:vAlign w:val="center"/>
          </w:tcPr>
          <w:p w14:paraId="50A2399E" w14:textId="6B5A3D7A" w:rsidR="00903849" w:rsidRPr="00BA65A9" w:rsidRDefault="00BA65A9" w:rsidP="00903849">
            <w:pPr>
              <w:jc w:val="center"/>
            </w:pPr>
            <w:r w:rsidRPr="00BA65A9">
              <w:t>Oil &amp; NG</w:t>
            </w:r>
          </w:p>
        </w:tc>
        <w:tc>
          <w:tcPr>
            <w:tcW w:w="1890" w:type="dxa"/>
            <w:vAlign w:val="center"/>
          </w:tcPr>
          <w:p w14:paraId="7A8936C4" w14:textId="5247DBEF" w:rsidR="00903849" w:rsidRPr="00BA65A9" w:rsidRDefault="00BA65A9" w:rsidP="00903849">
            <w:pPr>
              <w:jc w:val="center"/>
            </w:pPr>
            <w:r w:rsidRPr="00BA65A9">
              <w:t>2019</w:t>
            </w:r>
          </w:p>
        </w:tc>
        <w:tc>
          <w:tcPr>
            <w:tcW w:w="2520" w:type="dxa"/>
            <w:vAlign w:val="center"/>
          </w:tcPr>
          <w:p w14:paraId="7D06EB45" w14:textId="31297D41" w:rsidR="00903849" w:rsidRPr="00BA65A9" w:rsidRDefault="00BA65A9" w:rsidP="00903849">
            <w:pPr>
              <w:jc w:val="center"/>
            </w:pPr>
            <w:r w:rsidRPr="00BA65A9">
              <w:t>2.16</w:t>
            </w:r>
          </w:p>
        </w:tc>
      </w:tr>
      <w:tr w:rsidR="00903849" w14:paraId="0BD7BC4D" w14:textId="77777777" w:rsidTr="00BF4E91">
        <w:tc>
          <w:tcPr>
            <w:tcW w:w="2155" w:type="dxa"/>
            <w:vAlign w:val="center"/>
          </w:tcPr>
          <w:p w14:paraId="037211F0" w14:textId="03FC1194" w:rsidR="00903849" w:rsidRPr="00BA65A9" w:rsidRDefault="00903849" w:rsidP="00903849">
            <w:pPr>
              <w:jc w:val="center"/>
            </w:pPr>
            <w:r w:rsidRPr="00BA65A9">
              <w:t>EPA</w:t>
            </w:r>
          </w:p>
        </w:tc>
        <w:tc>
          <w:tcPr>
            <w:tcW w:w="2160" w:type="dxa"/>
            <w:vAlign w:val="center"/>
          </w:tcPr>
          <w:p w14:paraId="4A26E753" w14:textId="7FF55F29" w:rsidR="00903849" w:rsidRPr="00BA65A9" w:rsidRDefault="00BA65A9" w:rsidP="00903849">
            <w:pPr>
              <w:jc w:val="center"/>
            </w:pPr>
            <w:r w:rsidRPr="00BA65A9">
              <w:t>Oil &amp; NG</w:t>
            </w:r>
          </w:p>
        </w:tc>
        <w:tc>
          <w:tcPr>
            <w:tcW w:w="1890" w:type="dxa"/>
            <w:vAlign w:val="center"/>
          </w:tcPr>
          <w:p w14:paraId="51852B66" w14:textId="3F05DF09" w:rsidR="00903849" w:rsidRPr="00BA65A9" w:rsidRDefault="00BA65A9" w:rsidP="00903849">
            <w:pPr>
              <w:jc w:val="center"/>
            </w:pPr>
            <w:r w:rsidRPr="00BA65A9">
              <w:t>2017</w:t>
            </w:r>
          </w:p>
        </w:tc>
        <w:tc>
          <w:tcPr>
            <w:tcW w:w="2520" w:type="dxa"/>
            <w:vAlign w:val="center"/>
          </w:tcPr>
          <w:p w14:paraId="7CDED67F" w14:textId="3DB662CA" w:rsidR="00903849" w:rsidRPr="00BA65A9" w:rsidRDefault="00BA65A9" w:rsidP="00903849">
            <w:pPr>
              <w:jc w:val="center"/>
            </w:pPr>
            <w:r w:rsidRPr="00BA65A9">
              <w:t>1.82</w:t>
            </w:r>
          </w:p>
        </w:tc>
      </w:tr>
      <w:tr w:rsidR="00903849" w14:paraId="79A17702" w14:textId="77777777" w:rsidTr="00BF4E91">
        <w:tc>
          <w:tcPr>
            <w:tcW w:w="2155" w:type="dxa"/>
            <w:vAlign w:val="center"/>
          </w:tcPr>
          <w:p w14:paraId="51D64271" w14:textId="4301650E" w:rsidR="00903849" w:rsidRPr="00BA65A9" w:rsidRDefault="00903849" w:rsidP="00903849">
            <w:pPr>
              <w:jc w:val="center"/>
            </w:pPr>
            <w:r w:rsidRPr="00BA65A9">
              <w:t>NETL/CMU</w:t>
            </w:r>
          </w:p>
        </w:tc>
        <w:tc>
          <w:tcPr>
            <w:tcW w:w="2160" w:type="dxa"/>
            <w:vAlign w:val="center"/>
          </w:tcPr>
          <w:p w14:paraId="23BFC1C5" w14:textId="05BDCDC5" w:rsidR="00903849" w:rsidRPr="00BA65A9" w:rsidRDefault="00BA65A9" w:rsidP="00903849">
            <w:pPr>
              <w:jc w:val="center"/>
            </w:pPr>
            <w:r w:rsidRPr="00BA65A9">
              <w:t>NG only</w:t>
            </w:r>
          </w:p>
        </w:tc>
        <w:tc>
          <w:tcPr>
            <w:tcW w:w="1890" w:type="dxa"/>
            <w:vAlign w:val="center"/>
          </w:tcPr>
          <w:p w14:paraId="0E795871" w14:textId="146EA123" w:rsidR="00903849" w:rsidRPr="00BA65A9" w:rsidRDefault="00BA65A9" w:rsidP="00903849">
            <w:pPr>
              <w:jc w:val="center"/>
            </w:pPr>
            <w:r w:rsidRPr="00BA65A9">
              <w:t>2012</w:t>
            </w:r>
          </w:p>
        </w:tc>
        <w:tc>
          <w:tcPr>
            <w:tcW w:w="2520" w:type="dxa"/>
            <w:vAlign w:val="center"/>
          </w:tcPr>
          <w:p w14:paraId="6042B187" w14:textId="1138ADC1" w:rsidR="00903849" w:rsidRPr="00BA65A9" w:rsidRDefault="00BA65A9" w:rsidP="00903849">
            <w:pPr>
              <w:jc w:val="center"/>
            </w:pPr>
            <w:r w:rsidRPr="00BA65A9">
              <w:t>1.69</w:t>
            </w:r>
          </w:p>
        </w:tc>
      </w:tr>
      <w:tr w:rsidR="00903849" w14:paraId="545E8E2B" w14:textId="77777777" w:rsidTr="00BF4E91">
        <w:tc>
          <w:tcPr>
            <w:tcW w:w="2155" w:type="dxa"/>
            <w:vAlign w:val="center"/>
          </w:tcPr>
          <w:p w14:paraId="25E73ED9" w14:textId="196AFD4E" w:rsidR="00903849" w:rsidRPr="00BA65A9" w:rsidRDefault="00903849" w:rsidP="00903849">
            <w:pPr>
              <w:jc w:val="center"/>
            </w:pPr>
            <w:r w:rsidRPr="00BA65A9">
              <w:t>EPA High</w:t>
            </w:r>
          </w:p>
        </w:tc>
        <w:tc>
          <w:tcPr>
            <w:tcW w:w="2160" w:type="dxa"/>
            <w:vAlign w:val="center"/>
          </w:tcPr>
          <w:p w14:paraId="3362E2E0" w14:textId="670D56FF" w:rsidR="00903849" w:rsidRPr="00BA65A9" w:rsidRDefault="00BA65A9" w:rsidP="00903849">
            <w:pPr>
              <w:jc w:val="center"/>
            </w:pPr>
            <w:r w:rsidRPr="00BA65A9">
              <w:t>NG only</w:t>
            </w:r>
          </w:p>
        </w:tc>
        <w:tc>
          <w:tcPr>
            <w:tcW w:w="1890" w:type="dxa"/>
            <w:vAlign w:val="center"/>
          </w:tcPr>
          <w:p w14:paraId="73A66F42" w14:textId="38D5F3E6" w:rsidR="00903849" w:rsidRPr="00BA65A9" w:rsidRDefault="00BA65A9" w:rsidP="00903849">
            <w:pPr>
              <w:jc w:val="center"/>
            </w:pPr>
            <w:r w:rsidRPr="00BA65A9">
              <w:t>2017</w:t>
            </w:r>
          </w:p>
        </w:tc>
        <w:tc>
          <w:tcPr>
            <w:tcW w:w="2520" w:type="dxa"/>
            <w:vAlign w:val="center"/>
          </w:tcPr>
          <w:p w14:paraId="5307268B" w14:textId="5BB0A120" w:rsidR="00903849" w:rsidRPr="00BA65A9" w:rsidRDefault="00BA65A9" w:rsidP="00903849">
            <w:pPr>
              <w:jc w:val="center"/>
            </w:pPr>
            <w:r w:rsidRPr="00BA65A9">
              <w:t>1.67</w:t>
            </w:r>
          </w:p>
        </w:tc>
      </w:tr>
      <w:tr w:rsidR="00903849" w14:paraId="0E9E33D2" w14:textId="77777777" w:rsidTr="00BF4E91">
        <w:tc>
          <w:tcPr>
            <w:tcW w:w="2155" w:type="dxa"/>
            <w:vAlign w:val="center"/>
          </w:tcPr>
          <w:p w14:paraId="03AA6C5C" w14:textId="74259BCE" w:rsidR="00903849" w:rsidRPr="00BA65A9" w:rsidRDefault="00903849" w:rsidP="00903849">
            <w:pPr>
              <w:jc w:val="center"/>
            </w:pPr>
            <w:r w:rsidRPr="00BA65A9">
              <w:t>IEA</w:t>
            </w:r>
          </w:p>
        </w:tc>
        <w:tc>
          <w:tcPr>
            <w:tcW w:w="2160" w:type="dxa"/>
            <w:vAlign w:val="center"/>
          </w:tcPr>
          <w:p w14:paraId="3C0BB168" w14:textId="450189B9" w:rsidR="00903849" w:rsidRPr="00BA65A9" w:rsidRDefault="00BA65A9" w:rsidP="00903849">
            <w:pPr>
              <w:jc w:val="center"/>
            </w:pPr>
            <w:r w:rsidRPr="00BA65A9">
              <w:t>NG only</w:t>
            </w:r>
          </w:p>
        </w:tc>
        <w:tc>
          <w:tcPr>
            <w:tcW w:w="1890" w:type="dxa"/>
            <w:vAlign w:val="center"/>
          </w:tcPr>
          <w:p w14:paraId="27A1AE29" w14:textId="588021F0" w:rsidR="00903849" w:rsidRPr="00BA65A9" w:rsidRDefault="00BA65A9" w:rsidP="00903849">
            <w:pPr>
              <w:jc w:val="center"/>
            </w:pPr>
            <w:r w:rsidRPr="00BA65A9">
              <w:t>2019</w:t>
            </w:r>
          </w:p>
        </w:tc>
        <w:tc>
          <w:tcPr>
            <w:tcW w:w="2520" w:type="dxa"/>
            <w:vAlign w:val="center"/>
          </w:tcPr>
          <w:p w14:paraId="00A32A66" w14:textId="5D9F914C" w:rsidR="00903849" w:rsidRPr="00BA65A9" w:rsidRDefault="00BA65A9" w:rsidP="00903849">
            <w:pPr>
              <w:jc w:val="center"/>
            </w:pPr>
            <w:r w:rsidRPr="00BA65A9">
              <w:t>1.51</w:t>
            </w:r>
          </w:p>
        </w:tc>
      </w:tr>
      <w:tr w:rsidR="00903849" w14:paraId="0D439277" w14:textId="77777777" w:rsidTr="00BF4E91">
        <w:tc>
          <w:tcPr>
            <w:tcW w:w="2155" w:type="dxa"/>
            <w:vAlign w:val="center"/>
          </w:tcPr>
          <w:p w14:paraId="764912AD" w14:textId="7B3A8F02" w:rsidR="00903849" w:rsidRPr="00BA65A9" w:rsidRDefault="00903849" w:rsidP="00903849">
            <w:pPr>
              <w:jc w:val="center"/>
            </w:pPr>
            <w:r w:rsidRPr="00BA65A9">
              <w:t>EPA Low</w:t>
            </w:r>
          </w:p>
        </w:tc>
        <w:tc>
          <w:tcPr>
            <w:tcW w:w="2160" w:type="dxa"/>
            <w:vAlign w:val="center"/>
          </w:tcPr>
          <w:p w14:paraId="6C5E7DA4" w14:textId="0350B331" w:rsidR="00903849" w:rsidRPr="00BA65A9" w:rsidRDefault="00BA65A9" w:rsidP="00903849">
            <w:pPr>
              <w:jc w:val="center"/>
            </w:pPr>
            <w:r w:rsidRPr="00BA65A9">
              <w:t>Oil &amp; NG</w:t>
            </w:r>
          </w:p>
        </w:tc>
        <w:tc>
          <w:tcPr>
            <w:tcW w:w="1890" w:type="dxa"/>
            <w:vAlign w:val="center"/>
          </w:tcPr>
          <w:p w14:paraId="0006F418" w14:textId="701C570B" w:rsidR="00903849" w:rsidRPr="00BA65A9" w:rsidRDefault="00BA65A9" w:rsidP="00903849">
            <w:pPr>
              <w:jc w:val="center"/>
            </w:pPr>
            <w:r w:rsidRPr="00BA65A9">
              <w:t>2017</w:t>
            </w:r>
          </w:p>
        </w:tc>
        <w:tc>
          <w:tcPr>
            <w:tcW w:w="2520" w:type="dxa"/>
            <w:vAlign w:val="center"/>
          </w:tcPr>
          <w:p w14:paraId="25CEE568" w14:textId="5D9F4F82" w:rsidR="00903849" w:rsidRPr="00BA65A9" w:rsidRDefault="00BA65A9" w:rsidP="00903849">
            <w:pPr>
              <w:jc w:val="center"/>
            </w:pPr>
            <w:r w:rsidRPr="00BA65A9">
              <w:t>1.49</w:t>
            </w:r>
          </w:p>
        </w:tc>
      </w:tr>
      <w:tr w:rsidR="00903849" w14:paraId="638613F9" w14:textId="77777777" w:rsidTr="00BF4E91">
        <w:tc>
          <w:tcPr>
            <w:tcW w:w="2155" w:type="dxa"/>
            <w:vAlign w:val="center"/>
          </w:tcPr>
          <w:p w14:paraId="7964F7D2" w14:textId="3AC10333" w:rsidR="00903849" w:rsidRPr="00BA65A9" w:rsidRDefault="00903849" w:rsidP="00903849">
            <w:pPr>
              <w:jc w:val="center"/>
            </w:pPr>
            <w:r w:rsidRPr="00BA65A9">
              <w:t>EPA</w:t>
            </w:r>
          </w:p>
        </w:tc>
        <w:tc>
          <w:tcPr>
            <w:tcW w:w="2160" w:type="dxa"/>
            <w:vAlign w:val="center"/>
          </w:tcPr>
          <w:p w14:paraId="31843BF6" w14:textId="4B34D5F9" w:rsidR="00903849" w:rsidRPr="00BA65A9" w:rsidRDefault="00BA65A9" w:rsidP="00903849">
            <w:pPr>
              <w:jc w:val="center"/>
            </w:pPr>
            <w:r w:rsidRPr="00BA65A9">
              <w:t>NG only</w:t>
            </w:r>
          </w:p>
        </w:tc>
        <w:tc>
          <w:tcPr>
            <w:tcW w:w="1890" w:type="dxa"/>
            <w:vAlign w:val="center"/>
          </w:tcPr>
          <w:p w14:paraId="38FD0BD5" w14:textId="0A10CD60" w:rsidR="00903849" w:rsidRPr="00BA65A9" w:rsidRDefault="00BA65A9" w:rsidP="00903849">
            <w:pPr>
              <w:jc w:val="center"/>
            </w:pPr>
            <w:r w:rsidRPr="00BA65A9">
              <w:t>2017</w:t>
            </w:r>
          </w:p>
        </w:tc>
        <w:tc>
          <w:tcPr>
            <w:tcW w:w="2520" w:type="dxa"/>
            <w:vAlign w:val="center"/>
          </w:tcPr>
          <w:p w14:paraId="5EBBBE72" w14:textId="7D12A2C8" w:rsidR="00903849" w:rsidRPr="00BA65A9" w:rsidRDefault="00BA65A9" w:rsidP="00903849">
            <w:pPr>
              <w:jc w:val="center"/>
            </w:pPr>
            <w:r w:rsidRPr="00BA65A9">
              <w:t>1.42</w:t>
            </w:r>
          </w:p>
        </w:tc>
      </w:tr>
      <w:tr w:rsidR="00903849" w14:paraId="31B62855" w14:textId="77777777" w:rsidTr="00BF4E91">
        <w:tc>
          <w:tcPr>
            <w:tcW w:w="2155" w:type="dxa"/>
            <w:vAlign w:val="center"/>
          </w:tcPr>
          <w:p w14:paraId="0770E5D3" w14:textId="04BF2CFA" w:rsidR="00903849" w:rsidRPr="00BA65A9" w:rsidRDefault="00903849" w:rsidP="00903849">
            <w:pPr>
              <w:jc w:val="center"/>
            </w:pPr>
            <w:r w:rsidRPr="00BA65A9">
              <w:t>NETL/CMU Low</w:t>
            </w:r>
          </w:p>
        </w:tc>
        <w:tc>
          <w:tcPr>
            <w:tcW w:w="2160" w:type="dxa"/>
            <w:vAlign w:val="center"/>
          </w:tcPr>
          <w:p w14:paraId="112D8AEC" w14:textId="5D8BA4B4" w:rsidR="00903849" w:rsidRPr="00BA65A9" w:rsidRDefault="00BA65A9" w:rsidP="00903849">
            <w:pPr>
              <w:jc w:val="center"/>
            </w:pPr>
            <w:r w:rsidRPr="00BA65A9">
              <w:t>NG only</w:t>
            </w:r>
          </w:p>
        </w:tc>
        <w:tc>
          <w:tcPr>
            <w:tcW w:w="1890" w:type="dxa"/>
            <w:vAlign w:val="center"/>
          </w:tcPr>
          <w:p w14:paraId="1B374D36" w14:textId="5BF1B9FD" w:rsidR="00903849" w:rsidRPr="00BA65A9" w:rsidRDefault="00BA65A9" w:rsidP="00903849">
            <w:pPr>
              <w:jc w:val="center"/>
            </w:pPr>
            <w:r w:rsidRPr="00BA65A9">
              <w:t>2012</w:t>
            </w:r>
          </w:p>
        </w:tc>
        <w:tc>
          <w:tcPr>
            <w:tcW w:w="2520" w:type="dxa"/>
            <w:vAlign w:val="center"/>
          </w:tcPr>
          <w:p w14:paraId="3399E36A" w14:textId="11F61B31" w:rsidR="00903849" w:rsidRPr="00BA65A9" w:rsidRDefault="00BA65A9" w:rsidP="00903849">
            <w:pPr>
              <w:jc w:val="center"/>
            </w:pPr>
            <w:r w:rsidRPr="00BA65A9">
              <w:t>1.29</w:t>
            </w:r>
          </w:p>
        </w:tc>
      </w:tr>
      <w:tr w:rsidR="00903849" w14:paraId="527E0406" w14:textId="77777777" w:rsidTr="00BF4E91">
        <w:tc>
          <w:tcPr>
            <w:tcW w:w="2155" w:type="dxa"/>
            <w:vAlign w:val="center"/>
          </w:tcPr>
          <w:p w14:paraId="03ECC929" w14:textId="47CBB576" w:rsidR="00903849" w:rsidRPr="00BA65A9" w:rsidRDefault="00BA65A9" w:rsidP="00903849">
            <w:pPr>
              <w:jc w:val="center"/>
            </w:pPr>
            <w:r w:rsidRPr="00BA65A9">
              <w:t>EPA Low</w:t>
            </w:r>
          </w:p>
        </w:tc>
        <w:tc>
          <w:tcPr>
            <w:tcW w:w="2160" w:type="dxa"/>
            <w:vAlign w:val="center"/>
          </w:tcPr>
          <w:p w14:paraId="2DEDDC79" w14:textId="513A78B0" w:rsidR="00903849" w:rsidRPr="00BA65A9" w:rsidRDefault="00BA65A9" w:rsidP="00903849">
            <w:pPr>
              <w:jc w:val="center"/>
            </w:pPr>
            <w:r w:rsidRPr="00BA65A9">
              <w:t>NG only</w:t>
            </w:r>
          </w:p>
        </w:tc>
        <w:tc>
          <w:tcPr>
            <w:tcW w:w="1890" w:type="dxa"/>
            <w:vAlign w:val="center"/>
          </w:tcPr>
          <w:p w14:paraId="192FD8BD" w14:textId="216F1ECB" w:rsidR="00903849" w:rsidRPr="00BA65A9" w:rsidRDefault="00BA65A9" w:rsidP="00903849">
            <w:pPr>
              <w:jc w:val="center"/>
            </w:pPr>
            <w:r w:rsidRPr="00BA65A9">
              <w:t>2017</w:t>
            </w:r>
          </w:p>
        </w:tc>
        <w:tc>
          <w:tcPr>
            <w:tcW w:w="2520" w:type="dxa"/>
            <w:vAlign w:val="center"/>
          </w:tcPr>
          <w:p w14:paraId="5B9A88C6" w14:textId="310A3C8E" w:rsidR="00903849" w:rsidRPr="00BA65A9" w:rsidRDefault="00BA65A9" w:rsidP="00903849">
            <w:pPr>
              <w:jc w:val="center"/>
            </w:pPr>
            <w:r w:rsidRPr="00BA65A9">
              <w:t>1.20</w:t>
            </w:r>
          </w:p>
        </w:tc>
      </w:tr>
      <w:tr w:rsidR="00B15A81" w14:paraId="480337C6" w14:textId="77777777" w:rsidTr="00BF4E91">
        <w:tc>
          <w:tcPr>
            <w:tcW w:w="2155" w:type="dxa"/>
            <w:vAlign w:val="center"/>
          </w:tcPr>
          <w:p w14:paraId="5273C692" w14:textId="6B6D720E" w:rsidR="00B15A81" w:rsidRPr="00BA65A9" w:rsidRDefault="00B15A81" w:rsidP="00903849">
            <w:pPr>
              <w:jc w:val="center"/>
            </w:pPr>
            <w:r>
              <w:t xml:space="preserve">GHGenius </w:t>
            </w:r>
          </w:p>
        </w:tc>
        <w:tc>
          <w:tcPr>
            <w:tcW w:w="2160" w:type="dxa"/>
            <w:vAlign w:val="center"/>
          </w:tcPr>
          <w:p w14:paraId="3E95C367" w14:textId="12B3A2F0" w:rsidR="00B15A81" w:rsidRPr="00BA65A9" w:rsidRDefault="00B15A81" w:rsidP="00903849">
            <w:pPr>
              <w:jc w:val="center"/>
            </w:pPr>
            <w:r>
              <w:t>NG only (British Columbia)</w:t>
            </w:r>
          </w:p>
        </w:tc>
        <w:tc>
          <w:tcPr>
            <w:tcW w:w="1890" w:type="dxa"/>
            <w:vAlign w:val="center"/>
          </w:tcPr>
          <w:p w14:paraId="127623A2" w14:textId="14DFC69C" w:rsidR="00B15A81" w:rsidRPr="00BA65A9" w:rsidRDefault="00B15A81" w:rsidP="00903849">
            <w:pPr>
              <w:jc w:val="center"/>
            </w:pPr>
            <w:r>
              <w:t>2019</w:t>
            </w:r>
          </w:p>
        </w:tc>
        <w:tc>
          <w:tcPr>
            <w:tcW w:w="2520" w:type="dxa"/>
            <w:vAlign w:val="center"/>
          </w:tcPr>
          <w:p w14:paraId="5941AFD4" w14:textId="15C9ACBE" w:rsidR="00B15A81" w:rsidRPr="00BA65A9" w:rsidRDefault="00B15A81" w:rsidP="00B15A81">
            <w:pPr>
              <w:jc w:val="center"/>
            </w:pPr>
            <w:r>
              <w:t>0.77 (HHV)</w:t>
            </w:r>
          </w:p>
        </w:tc>
      </w:tr>
    </w:tbl>
    <w:p w14:paraId="7DB4D254" w14:textId="15B71C68" w:rsidR="00F13774" w:rsidRDefault="00F13774" w:rsidP="00F13774">
      <w:pPr>
        <w:pStyle w:val="Heading1"/>
      </w:pPr>
      <w:bookmarkStart w:id="5" w:name="_Toc43052734"/>
      <w:r>
        <w:t>Fuel Emission Rate</w:t>
      </w:r>
      <w:r w:rsidR="00DA3A8F">
        <w:t xml:space="preserve"> Calculation</w:t>
      </w:r>
      <w:r w:rsidR="003B1272">
        <w:t xml:space="preserve"> &amp; Results</w:t>
      </w:r>
      <w:bookmarkEnd w:id="5"/>
    </w:p>
    <w:p w14:paraId="43FBEC6A" w14:textId="2B3E3C0B" w:rsidR="006F47B2" w:rsidRDefault="006F47B2" w:rsidP="00DA3A8F">
      <w:r>
        <w:t xml:space="preserve">The greenhouse gas emissions from future estimates of consumption of natural gas and coal are considered throughout our energy planning </w:t>
      </w:r>
      <w:r w:rsidR="009172FC">
        <w:t>models</w:t>
      </w:r>
      <w:r>
        <w:t xml:space="preserve">.  Fuel emission rates for natural gas and coal – </w:t>
      </w:r>
      <w:r w:rsidR="000D10D0">
        <w:t>lb</w:t>
      </w:r>
      <w:r w:rsidR="00BF4E91">
        <w:t>s</w:t>
      </w:r>
      <w:r w:rsidR="000D10D0">
        <w:t>.</w:t>
      </w:r>
      <w:r>
        <w:t xml:space="preserve"> of GHG per </w:t>
      </w:r>
      <w:r w:rsidR="000D10D0">
        <w:t>MMBtu of fuel</w:t>
      </w:r>
      <w:r>
        <w:t xml:space="preserve"> consumed – are used to convert </w:t>
      </w:r>
      <w:r w:rsidR="009172FC">
        <w:t xml:space="preserve">expected </w:t>
      </w:r>
      <w:r>
        <w:t>fuel consumption into emission estimates.  Previously, our planning models have only considered emissions at the point of combustion.  For the 2021 Power Plan, upstream methane emissions resulting from the deli</w:t>
      </w:r>
      <w:r w:rsidR="000D10D0">
        <w:t>very</w:t>
      </w:r>
      <w:r>
        <w:t xml:space="preserve"> of fu</w:t>
      </w:r>
      <w:r w:rsidR="000D10D0">
        <w:t>el</w:t>
      </w:r>
      <w:r>
        <w:t xml:space="preserve"> to point of comb</w:t>
      </w:r>
      <w:r w:rsidR="000D10D0">
        <w:t>ustion</w:t>
      </w:r>
      <w:r>
        <w:t xml:space="preserve"> will </w:t>
      </w:r>
      <w:r w:rsidR="00576A62">
        <w:t xml:space="preserve">also </w:t>
      </w:r>
      <w:r>
        <w:t xml:space="preserve">be </w:t>
      </w:r>
      <w:r w:rsidR="00576A62">
        <w:t>included</w:t>
      </w:r>
      <w:r>
        <w:t xml:space="preserve">.     </w:t>
      </w:r>
    </w:p>
    <w:p w14:paraId="6C7145C4" w14:textId="5EF1A6D7" w:rsidR="000D10D0" w:rsidRDefault="000D10D0" w:rsidP="000D10D0">
      <w:pPr>
        <w:pStyle w:val="Heading2"/>
      </w:pPr>
      <w:bookmarkStart w:id="6" w:name="_Toc43052735"/>
      <w:r>
        <w:t>Coal</w:t>
      </w:r>
      <w:bookmarkEnd w:id="6"/>
    </w:p>
    <w:p w14:paraId="0747C462" w14:textId="5B01C018" w:rsidR="00C75A6F" w:rsidRDefault="000D10D0" w:rsidP="000D10D0">
      <w:r>
        <w:t>The coal consumed in the Northwest is surfaced mined from the Power River Basin (PRB). Generally, surface mined coal releases methane at a lower rate than underground mines. The EPA and National Energy Technology Lab (NETL) have reported that surface mine emissions are difficult to quantify since they are not coming from a point source; but studies have suggested a value of 38.7 standard cubic feet</w:t>
      </w:r>
      <w:r w:rsidR="00C75A6F">
        <w:t xml:space="preserve"> </w:t>
      </w:r>
      <w:r>
        <w:t>of CH</w:t>
      </w:r>
      <w:r w:rsidRPr="00B43B5A">
        <w:rPr>
          <w:vertAlign w:val="subscript"/>
        </w:rPr>
        <w:t>4</w:t>
      </w:r>
      <w:r>
        <w:t xml:space="preserve"> per ton of coal mined</w:t>
      </w:r>
      <w:r w:rsidR="00C75A6F">
        <w:rPr>
          <w:rStyle w:val="FootnoteReference"/>
        </w:rPr>
        <w:footnoteReference w:id="12"/>
      </w:r>
      <w:r>
        <w:t>.</w:t>
      </w:r>
      <w:r w:rsidR="00C75A6F">
        <w:t xml:space="preserve">  </w:t>
      </w:r>
    </w:p>
    <w:p w14:paraId="19CE1D54" w14:textId="28A8DE55" w:rsidR="000C1624" w:rsidRPr="00B15A81" w:rsidRDefault="00C75A6F" w:rsidP="000D10D0">
      <w:r>
        <w:lastRenderedPageBreak/>
        <w:t>The standard delivered unit of coal is 1 MMBtu.  An assumption of supply chain loss of 10%, along with the MMBtu to lb</w:t>
      </w:r>
      <w:r w:rsidR="00BF4E91">
        <w:t>s.</w:t>
      </w:r>
      <w:r>
        <w:t xml:space="preserve"> conversion value for PRB coal is used to calculate a rate of lb</w:t>
      </w:r>
      <w:r w:rsidR="00BF4E91">
        <w:t>s</w:t>
      </w:r>
      <w:r>
        <w:t>. of CH</w:t>
      </w:r>
      <w:r w:rsidRPr="00C75A6F">
        <w:rPr>
          <w:vertAlign w:val="subscript"/>
        </w:rPr>
        <w:t>4</w:t>
      </w:r>
      <w:r>
        <w:t xml:space="preserve"> emitted </w:t>
      </w:r>
      <w:r w:rsidR="00A169AD">
        <w:t xml:space="preserve">upstream </w:t>
      </w:r>
      <w:r>
        <w:t>per MMBtu of coal delivered</w:t>
      </w:r>
      <w:r w:rsidR="001512E1">
        <w:t xml:space="preserve"> of 0.103.  The combined results for coal are show in Table </w:t>
      </w:r>
      <w:r w:rsidR="00BF4E91">
        <w:t>7</w:t>
      </w:r>
      <w:r w:rsidR="001512E1">
        <w:t>.</w:t>
      </w:r>
    </w:p>
    <w:p w14:paraId="448F0052" w14:textId="2F855409" w:rsidR="001512E1" w:rsidRPr="00BA1B95" w:rsidRDefault="001512E1" w:rsidP="000D10D0">
      <w:pPr>
        <w:rPr>
          <w:b/>
          <w:bCs/>
        </w:rPr>
      </w:pPr>
      <w:r w:rsidRPr="00A46078">
        <w:rPr>
          <w:b/>
          <w:bCs/>
        </w:rPr>
        <w:t xml:space="preserve">Table </w:t>
      </w:r>
      <w:r w:rsidR="00BF4E91">
        <w:rPr>
          <w:b/>
          <w:bCs/>
        </w:rPr>
        <w:t>7</w:t>
      </w:r>
      <w:r w:rsidRPr="00A46078">
        <w:rPr>
          <w:b/>
          <w:bCs/>
        </w:rPr>
        <w:t xml:space="preserve">: Coal </w:t>
      </w:r>
      <w:r w:rsidR="00BF4E91">
        <w:rPr>
          <w:b/>
          <w:bCs/>
        </w:rPr>
        <w:t>e</w:t>
      </w:r>
      <w:r w:rsidRPr="00A46078">
        <w:rPr>
          <w:b/>
          <w:bCs/>
        </w:rPr>
        <w:t xml:space="preserve">mission </w:t>
      </w:r>
      <w:r w:rsidR="00BF4E91">
        <w:rPr>
          <w:b/>
          <w:bCs/>
        </w:rPr>
        <w:t>r</w:t>
      </w:r>
      <w:r w:rsidRPr="00A46078">
        <w:rPr>
          <w:b/>
          <w:bCs/>
        </w:rPr>
        <w:t>ate</w:t>
      </w:r>
      <w:r w:rsidR="00CA7E9E">
        <w:rPr>
          <w:b/>
          <w:bCs/>
        </w:rPr>
        <w:t xml:space="preserve"> for the Northwest</w:t>
      </w:r>
      <w:r w:rsidRPr="00A46078">
        <w:rPr>
          <w:b/>
          <w:bCs/>
        </w:rPr>
        <w:t xml:space="preserve"> – on a per unit of fuel delivered basis</w:t>
      </w:r>
    </w:p>
    <w:tbl>
      <w:tblPr>
        <w:tblStyle w:val="TableGrid"/>
        <w:tblW w:w="0" w:type="auto"/>
        <w:tblLook w:val="04A0" w:firstRow="1" w:lastRow="0" w:firstColumn="1" w:lastColumn="0" w:noHBand="0" w:noVBand="1"/>
      </w:tblPr>
      <w:tblGrid>
        <w:gridCol w:w="2335"/>
        <w:gridCol w:w="2070"/>
        <w:gridCol w:w="2970"/>
      </w:tblGrid>
      <w:tr w:rsidR="001512E1" w14:paraId="0383C623" w14:textId="77777777" w:rsidTr="00BF4E91">
        <w:trPr>
          <w:trHeight w:val="521"/>
        </w:trPr>
        <w:tc>
          <w:tcPr>
            <w:tcW w:w="2335" w:type="dxa"/>
            <w:shd w:val="clear" w:color="auto" w:fill="D3BF7B" w:themeFill="text2" w:themeFillShade="BF"/>
            <w:vAlign w:val="center"/>
          </w:tcPr>
          <w:p w14:paraId="75975FBD" w14:textId="0C72CB7E" w:rsidR="001512E1" w:rsidRPr="00BF4E91" w:rsidRDefault="00BA1B95" w:rsidP="00BA1B95">
            <w:pPr>
              <w:rPr>
                <w:b/>
                <w:bCs/>
              </w:rPr>
            </w:pPr>
            <w:r w:rsidRPr="00BF4E91">
              <w:rPr>
                <w:b/>
                <w:bCs/>
              </w:rPr>
              <w:t>Mining methane emission rate of 38.7 scf. CH</w:t>
            </w:r>
            <w:r w:rsidRPr="00BF4E91">
              <w:rPr>
                <w:b/>
                <w:bCs/>
                <w:vertAlign w:val="subscript"/>
              </w:rPr>
              <w:t>4</w:t>
            </w:r>
            <w:r w:rsidRPr="00BF4E91">
              <w:rPr>
                <w:b/>
                <w:bCs/>
              </w:rPr>
              <w:t xml:space="preserve"> per ton of coal</w:t>
            </w:r>
          </w:p>
        </w:tc>
        <w:tc>
          <w:tcPr>
            <w:tcW w:w="2070" w:type="dxa"/>
            <w:shd w:val="clear" w:color="auto" w:fill="D3BF7B" w:themeFill="text2" w:themeFillShade="BF"/>
            <w:vAlign w:val="center"/>
          </w:tcPr>
          <w:p w14:paraId="7E416C10" w14:textId="77777777" w:rsidR="001512E1" w:rsidRPr="00BF4E91" w:rsidRDefault="001512E1" w:rsidP="001512E1">
            <w:pPr>
              <w:jc w:val="center"/>
              <w:rPr>
                <w:b/>
                <w:bCs/>
              </w:rPr>
            </w:pPr>
            <w:r w:rsidRPr="00BF4E91">
              <w:rPr>
                <w:b/>
                <w:bCs/>
              </w:rPr>
              <w:t>Greenhouse Gas</w:t>
            </w:r>
          </w:p>
          <w:p w14:paraId="4B40C6E0" w14:textId="23E78C0C" w:rsidR="001512E1" w:rsidRPr="00BF4E91" w:rsidRDefault="00576A62" w:rsidP="001512E1">
            <w:pPr>
              <w:jc w:val="center"/>
              <w:rPr>
                <w:b/>
                <w:bCs/>
              </w:rPr>
            </w:pPr>
            <w:r w:rsidRPr="00BF4E91">
              <w:rPr>
                <w:b/>
                <w:bCs/>
              </w:rPr>
              <w:t>l</w:t>
            </w:r>
            <w:r w:rsidR="001512E1" w:rsidRPr="00BF4E91">
              <w:rPr>
                <w:b/>
                <w:bCs/>
              </w:rPr>
              <w:t>b</w:t>
            </w:r>
            <w:r w:rsidR="00BF4E91">
              <w:rPr>
                <w:b/>
                <w:bCs/>
              </w:rPr>
              <w:t>s</w:t>
            </w:r>
            <w:r w:rsidR="001512E1" w:rsidRPr="00BF4E91">
              <w:rPr>
                <w:b/>
                <w:bCs/>
              </w:rPr>
              <w:t>. GHG/MMBtu</w:t>
            </w:r>
          </w:p>
        </w:tc>
        <w:tc>
          <w:tcPr>
            <w:tcW w:w="2970" w:type="dxa"/>
            <w:shd w:val="clear" w:color="auto" w:fill="D3BF7B" w:themeFill="text2" w:themeFillShade="BF"/>
            <w:vAlign w:val="center"/>
          </w:tcPr>
          <w:p w14:paraId="52734640" w14:textId="77777777" w:rsidR="001512E1" w:rsidRPr="00BF4E91" w:rsidRDefault="001512E1" w:rsidP="001512E1">
            <w:pPr>
              <w:jc w:val="center"/>
              <w:rPr>
                <w:b/>
                <w:bCs/>
              </w:rPr>
            </w:pPr>
            <w:r w:rsidRPr="00BF4E91">
              <w:rPr>
                <w:b/>
                <w:bCs/>
              </w:rPr>
              <w:t>Carbon Dioxide Equivalents</w:t>
            </w:r>
          </w:p>
          <w:p w14:paraId="0F1A6AE7" w14:textId="04F478FC" w:rsidR="001512E1" w:rsidRPr="00BF4E91" w:rsidRDefault="00576A62" w:rsidP="001512E1">
            <w:pPr>
              <w:jc w:val="center"/>
              <w:rPr>
                <w:b/>
                <w:bCs/>
              </w:rPr>
            </w:pPr>
            <w:r w:rsidRPr="00BF4E91">
              <w:rPr>
                <w:b/>
                <w:bCs/>
              </w:rPr>
              <w:t>l</w:t>
            </w:r>
            <w:r w:rsidR="001512E1" w:rsidRPr="00BF4E91">
              <w:rPr>
                <w:b/>
                <w:bCs/>
              </w:rPr>
              <w:t>b</w:t>
            </w:r>
            <w:r w:rsidR="00BF4E91">
              <w:rPr>
                <w:b/>
                <w:bCs/>
              </w:rPr>
              <w:t>s</w:t>
            </w:r>
            <w:r w:rsidR="001512E1" w:rsidRPr="00BF4E91">
              <w:rPr>
                <w:b/>
                <w:bCs/>
              </w:rPr>
              <w:t>. CO2e/MMBtu</w:t>
            </w:r>
          </w:p>
        </w:tc>
      </w:tr>
      <w:tr w:rsidR="001512E1" w14:paraId="3F320CBB" w14:textId="77777777" w:rsidTr="001512E1">
        <w:tc>
          <w:tcPr>
            <w:tcW w:w="2335" w:type="dxa"/>
            <w:vAlign w:val="center"/>
          </w:tcPr>
          <w:p w14:paraId="32969312" w14:textId="450F1D55" w:rsidR="001512E1" w:rsidRDefault="001512E1" w:rsidP="001512E1">
            <w:pPr>
              <w:jc w:val="center"/>
            </w:pPr>
            <w:r>
              <w:t>Combustion</w:t>
            </w:r>
          </w:p>
        </w:tc>
        <w:tc>
          <w:tcPr>
            <w:tcW w:w="2070" w:type="dxa"/>
            <w:vAlign w:val="center"/>
          </w:tcPr>
          <w:p w14:paraId="5594E1C5" w14:textId="48B706A4" w:rsidR="001512E1" w:rsidRDefault="001512E1" w:rsidP="001512E1">
            <w:pPr>
              <w:jc w:val="center"/>
            </w:pPr>
          </w:p>
        </w:tc>
        <w:tc>
          <w:tcPr>
            <w:tcW w:w="2970" w:type="dxa"/>
            <w:vAlign w:val="center"/>
          </w:tcPr>
          <w:p w14:paraId="4BA6204D" w14:textId="77777777" w:rsidR="001512E1" w:rsidRDefault="001512E1" w:rsidP="001512E1">
            <w:pPr>
              <w:jc w:val="center"/>
            </w:pPr>
          </w:p>
        </w:tc>
      </w:tr>
      <w:tr w:rsidR="001512E1" w14:paraId="4E76386C" w14:textId="77777777" w:rsidTr="001512E1">
        <w:tc>
          <w:tcPr>
            <w:tcW w:w="2335" w:type="dxa"/>
            <w:vAlign w:val="center"/>
          </w:tcPr>
          <w:p w14:paraId="7E1F24D7" w14:textId="6E0AFACD" w:rsidR="001512E1" w:rsidRDefault="001512E1" w:rsidP="001512E1">
            <w:pPr>
              <w:jc w:val="center"/>
            </w:pPr>
            <w:r>
              <w:t>CO</w:t>
            </w:r>
            <w:r w:rsidRPr="001512E1">
              <w:rPr>
                <w:vertAlign w:val="subscript"/>
              </w:rPr>
              <w:t>2</w:t>
            </w:r>
          </w:p>
        </w:tc>
        <w:tc>
          <w:tcPr>
            <w:tcW w:w="2070" w:type="dxa"/>
            <w:vAlign w:val="center"/>
          </w:tcPr>
          <w:p w14:paraId="0BD5542E" w14:textId="3044A382" w:rsidR="001512E1" w:rsidRDefault="001512E1" w:rsidP="001512E1">
            <w:pPr>
              <w:jc w:val="center"/>
            </w:pPr>
            <w:r>
              <w:t>213.9</w:t>
            </w:r>
          </w:p>
        </w:tc>
        <w:tc>
          <w:tcPr>
            <w:tcW w:w="2970" w:type="dxa"/>
            <w:vAlign w:val="center"/>
          </w:tcPr>
          <w:p w14:paraId="120B16CC" w14:textId="016DD3C3" w:rsidR="001512E1" w:rsidRDefault="001512E1" w:rsidP="001512E1">
            <w:pPr>
              <w:jc w:val="center"/>
            </w:pPr>
            <w:r>
              <w:t>213.9</w:t>
            </w:r>
          </w:p>
        </w:tc>
      </w:tr>
      <w:tr w:rsidR="001512E1" w14:paraId="36357C41" w14:textId="77777777" w:rsidTr="001512E1">
        <w:tc>
          <w:tcPr>
            <w:tcW w:w="2335" w:type="dxa"/>
            <w:vAlign w:val="center"/>
          </w:tcPr>
          <w:p w14:paraId="285F566F" w14:textId="58F1E968" w:rsidR="001512E1" w:rsidRDefault="001512E1" w:rsidP="001512E1">
            <w:pPr>
              <w:jc w:val="center"/>
            </w:pPr>
            <w:r>
              <w:t>CH</w:t>
            </w:r>
            <w:r w:rsidRPr="00433AFA">
              <w:rPr>
                <w:vertAlign w:val="subscript"/>
              </w:rPr>
              <w:t>4</w:t>
            </w:r>
          </w:p>
        </w:tc>
        <w:tc>
          <w:tcPr>
            <w:tcW w:w="2070" w:type="dxa"/>
            <w:vAlign w:val="center"/>
          </w:tcPr>
          <w:p w14:paraId="6C83B9F0" w14:textId="30A5F151" w:rsidR="001512E1" w:rsidRDefault="001512E1" w:rsidP="001512E1">
            <w:pPr>
              <w:jc w:val="center"/>
            </w:pPr>
            <w:r>
              <w:t>0.02425</w:t>
            </w:r>
          </w:p>
        </w:tc>
        <w:tc>
          <w:tcPr>
            <w:tcW w:w="2970" w:type="dxa"/>
            <w:vAlign w:val="center"/>
          </w:tcPr>
          <w:p w14:paraId="14810F52" w14:textId="182C6581" w:rsidR="001512E1" w:rsidRDefault="001512E1" w:rsidP="001512E1">
            <w:pPr>
              <w:jc w:val="center"/>
            </w:pPr>
            <w:r>
              <w:t>0.8245</w:t>
            </w:r>
          </w:p>
        </w:tc>
      </w:tr>
      <w:tr w:rsidR="001512E1" w14:paraId="1126ED42" w14:textId="77777777" w:rsidTr="001512E1">
        <w:tc>
          <w:tcPr>
            <w:tcW w:w="2335" w:type="dxa"/>
            <w:vAlign w:val="center"/>
          </w:tcPr>
          <w:p w14:paraId="3CEC9DAF" w14:textId="4BA7CCE8" w:rsidR="001512E1" w:rsidRDefault="001512E1" w:rsidP="001512E1">
            <w:pPr>
              <w:jc w:val="center"/>
            </w:pPr>
            <w:r>
              <w:t>N</w:t>
            </w:r>
            <w:r w:rsidRPr="00433AFA">
              <w:rPr>
                <w:vertAlign w:val="subscript"/>
              </w:rPr>
              <w:t>2</w:t>
            </w:r>
            <w:r>
              <w:t>O</w:t>
            </w:r>
          </w:p>
        </w:tc>
        <w:tc>
          <w:tcPr>
            <w:tcW w:w="2070" w:type="dxa"/>
            <w:vAlign w:val="center"/>
          </w:tcPr>
          <w:p w14:paraId="5C6A14C5" w14:textId="1040DCDF" w:rsidR="001512E1" w:rsidRDefault="001512E1" w:rsidP="001512E1">
            <w:pPr>
              <w:jc w:val="center"/>
            </w:pPr>
            <w:r>
              <w:t>0.00353</w:t>
            </w:r>
          </w:p>
        </w:tc>
        <w:tc>
          <w:tcPr>
            <w:tcW w:w="2970" w:type="dxa"/>
            <w:vAlign w:val="center"/>
          </w:tcPr>
          <w:p w14:paraId="6CABAD5E" w14:textId="500C9987" w:rsidR="001512E1" w:rsidRDefault="001512E1" w:rsidP="001512E1">
            <w:pPr>
              <w:jc w:val="center"/>
            </w:pPr>
            <w:r>
              <w:t>1.0519</w:t>
            </w:r>
          </w:p>
        </w:tc>
      </w:tr>
      <w:tr w:rsidR="001512E1" w14:paraId="1D5FAF0C" w14:textId="77777777" w:rsidTr="00BA1B95">
        <w:tc>
          <w:tcPr>
            <w:tcW w:w="2335" w:type="dxa"/>
            <w:shd w:val="clear" w:color="auto" w:fill="auto"/>
            <w:vAlign w:val="center"/>
          </w:tcPr>
          <w:p w14:paraId="1D68A511" w14:textId="17D61030" w:rsidR="001512E1" w:rsidRDefault="001512E1" w:rsidP="001512E1">
            <w:pPr>
              <w:jc w:val="center"/>
            </w:pPr>
            <w:r>
              <w:t>Total Combustion</w:t>
            </w:r>
          </w:p>
        </w:tc>
        <w:tc>
          <w:tcPr>
            <w:tcW w:w="2070" w:type="dxa"/>
            <w:shd w:val="clear" w:color="auto" w:fill="auto"/>
            <w:vAlign w:val="center"/>
          </w:tcPr>
          <w:p w14:paraId="52913778" w14:textId="77777777" w:rsidR="001512E1" w:rsidRDefault="001512E1" w:rsidP="001512E1">
            <w:pPr>
              <w:jc w:val="center"/>
            </w:pPr>
          </w:p>
        </w:tc>
        <w:tc>
          <w:tcPr>
            <w:tcW w:w="2970" w:type="dxa"/>
            <w:shd w:val="clear" w:color="auto" w:fill="auto"/>
            <w:vAlign w:val="center"/>
          </w:tcPr>
          <w:p w14:paraId="2809DC93" w14:textId="3B6E4B95" w:rsidR="001512E1" w:rsidRDefault="001512E1" w:rsidP="001512E1">
            <w:pPr>
              <w:jc w:val="center"/>
            </w:pPr>
            <w:r>
              <w:t>216</w:t>
            </w:r>
          </w:p>
        </w:tc>
      </w:tr>
      <w:tr w:rsidR="001512E1" w14:paraId="4EB1865A" w14:textId="77777777" w:rsidTr="001512E1">
        <w:tc>
          <w:tcPr>
            <w:tcW w:w="2335" w:type="dxa"/>
            <w:vAlign w:val="center"/>
          </w:tcPr>
          <w:p w14:paraId="7ACB294F" w14:textId="423B23A0" w:rsidR="00BA1B95" w:rsidRDefault="001512E1" w:rsidP="00BA1B95">
            <w:pPr>
              <w:jc w:val="center"/>
            </w:pPr>
            <w:r>
              <w:t>Upstream</w:t>
            </w:r>
          </w:p>
        </w:tc>
        <w:tc>
          <w:tcPr>
            <w:tcW w:w="2070" w:type="dxa"/>
            <w:vAlign w:val="center"/>
          </w:tcPr>
          <w:p w14:paraId="5EFCC69D" w14:textId="77777777" w:rsidR="001512E1" w:rsidRDefault="001512E1" w:rsidP="001512E1">
            <w:pPr>
              <w:jc w:val="center"/>
            </w:pPr>
          </w:p>
        </w:tc>
        <w:tc>
          <w:tcPr>
            <w:tcW w:w="2970" w:type="dxa"/>
            <w:vAlign w:val="center"/>
          </w:tcPr>
          <w:p w14:paraId="225C6C40" w14:textId="77777777" w:rsidR="001512E1" w:rsidRDefault="001512E1" w:rsidP="001512E1">
            <w:pPr>
              <w:jc w:val="center"/>
            </w:pPr>
          </w:p>
        </w:tc>
      </w:tr>
      <w:tr w:rsidR="001512E1" w14:paraId="171C48EC" w14:textId="77777777" w:rsidTr="00BF4E91">
        <w:tc>
          <w:tcPr>
            <w:tcW w:w="2335" w:type="dxa"/>
            <w:shd w:val="clear" w:color="auto" w:fill="auto"/>
            <w:vAlign w:val="center"/>
          </w:tcPr>
          <w:p w14:paraId="28E00F38" w14:textId="659E3D82" w:rsidR="001512E1" w:rsidRDefault="001512E1" w:rsidP="001512E1">
            <w:pPr>
              <w:jc w:val="center"/>
            </w:pPr>
            <w:r>
              <w:t>CH</w:t>
            </w:r>
            <w:r w:rsidRPr="00433AFA">
              <w:rPr>
                <w:vertAlign w:val="subscript"/>
              </w:rPr>
              <w:t>4</w:t>
            </w:r>
          </w:p>
        </w:tc>
        <w:tc>
          <w:tcPr>
            <w:tcW w:w="2070" w:type="dxa"/>
            <w:shd w:val="clear" w:color="auto" w:fill="auto"/>
            <w:vAlign w:val="center"/>
          </w:tcPr>
          <w:p w14:paraId="36B4965C" w14:textId="2B9D206F" w:rsidR="001512E1" w:rsidRDefault="001512E1" w:rsidP="001512E1">
            <w:pPr>
              <w:jc w:val="center"/>
            </w:pPr>
            <w:r>
              <w:t>0.103</w:t>
            </w:r>
          </w:p>
        </w:tc>
        <w:tc>
          <w:tcPr>
            <w:tcW w:w="2970" w:type="dxa"/>
            <w:shd w:val="clear" w:color="auto" w:fill="auto"/>
            <w:vAlign w:val="center"/>
          </w:tcPr>
          <w:p w14:paraId="48F9180B" w14:textId="39B584F5" w:rsidR="001512E1" w:rsidRDefault="001512E1" w:rsidP="001512E1">
            <w:pPr>
              <w:jc w:val="center"/>
            </w:pPr>
            <w:r>
              <w:t>3.51</w:t>
            </w:r>
          </w:p>
        </w:tc>
      </w:tr>
      <w:tr w:rsidR="001512E1" w14:paraId="7F71CE6D" w14:textId="77777777" w:rsidTr="00BF4E91">
        <w:tc>
          <w:tcPr>
            <w:tcW w:w="2335" w:type="dxa"/>
            <w:shd w:val="clear" w:color="auto" w:fill="FDF3D0" w:themeFill="accent3" w:themeFillTint="33"/>
            <w:vAlign w:val="center"/>
          </w:tcPr>
          <w:p w14:paraId="35D4CE8A" w14:textId="2690590B" w:rsidR="001512E1" w:rsidRDefault="001512E1" w:rsidP="001512E1">
            <w:pPr>
              <w:jc w:val="center"/>
            </w:pPr>
            <w:r>
              <w:t>Total</w:t>
            </w:r>
          </w:p>
        </w:tc>
        <w:tc>
          <w:tcPr>
            <w:tcW w:w="2070" w:type="dxa"/>
            <w:shd w:val="clear" w:color="auto" w:fill="FDF3D0" w:themeFill="accent3" w:themeFillTint="33"/>
            <w:vAlign w:val="center"/>
          </w:tcPr>
          <w:p w14:paraId="400464CA" w14:textId="77777777" w:rsidR="001512E1" w:rsidRDefault="001512E1" w:rsidP="001512E1">
            <w:pPr>
              <w:jc w:val="center"/>
            </w:pPr>
          </w:p>
        </w:tc>
        <w:tc>
          <w:tcPr>
            <w:tcW w:w="2970" w:type="dxa"/>
            <w:shd w:val="clear" w:color="auto" w:fill="FDF3D0" w:themeFill="accent3" w:themeFillTint="33"/>
            <w:vAlign w:val="center"/>
          </w:tcPr>
          <w:p w14:paraId="039B7F5D" w14:textId="66C86A81" w:rsidR="001512E1" w:rsidRDefault="001512E1" w:rsidP="001512E1">
            <w:pPr>
              <w:jc w:val="center"/>
            </w:pPr>
            <w:r>
              <w:t>219</w:t>
            </w:r>
          </w:p>
        </w:tc>
      </w:tr>
    </w:tbl>
    <w:p w14:paraId="602B9D60" w14:textId="77777777" w:rsidR="009172FC" w:rsidRDefault="009172FC" w:rsidP="000D10D0">
      <w:pPr>
        <w:pStyle w:val="Heading2"/>
      </w:pPr>
    </w:p>
    <w:p w14:paraId="08738D22" w14:textId="0C6029AE" w:rsidR="000D10D0" w:rsidRDefault="000D10D0" w:rsidP="000D10D0">
      <w:pPr>
        <w:pStyle w:val="Heading2"/>
      </w:pPr>
      <w:bookmarkStart w:id="7" w:name="_Toc43052736"/>
      <w:r>
        <w:t>Natural Gas</w:t>
      </w:r>
      <w:bookmarkEnd w:id="7"/>
    </w:p>
    <w:p w14:paraId="3CC08978" w14:textId="4B3C331E" w:rsidR="0083312A" w:rsidRDefault="00433AFA" w:rsidP="00BA1B95">
      <w:r>
        <w:t>The standard unit of delivered fuel is 1 MMBtu of natural gas.</w:t>
      </w:r>
      <w:r w:rsidR="00BA1B95">
        <w:t xml:space="preserve">  Assuming a methane composition of around 97% for delivered gas, and a conversion factor, this </w:t>
      </w:r>
      <w:r w:rsidR="0083312A">
        <w:t>equates</w:t>
      </w:r>
      <w:r w:rsidR="00BA1B95">
        <w:t xml:space="preserve"> to a value of 39.6 </w:t>
      </w:r>
      <w:r w:rsidR="00576A62">
        <w:t>l</w:t>
      </w:r>
      <w:r w:rsidR="00BA1B95">
        <w:t>b</w:t>
      </w:r>
      <w:r w:rsidR="00576A62">
        <w:t>s.</w:t>
      </w:r>
      <w:r w:rsidR="00BA1B95">
        <w:t xml:space="preserve"> of CH</w:t>
      </w:r>
      <w:r w:rsidR="00BA1B95" w:rsidRPr="00BA1B95">
        <w:rPr>
          <w:vertAlign w:val="subscript"/>
        </w:rPr>
        <w:t>4</w:t>
      </w:r>
      <w:r w:rsidR="00BA1B95">
        <w:t xml:space="preserve"> delivered per MMBtu of natural gas delivered. </w:t>
      </w:r>
      <w:r w:rsidR="007775A7">
        <w:t xml:space="preserve">Multiplying this value by </w:t>
      </w:r>
      <w:r w:rsidR="000C3489">
        <w:t>the upstream</w:t>
      </w:r>
      <w:r w:rsidR="007775A7">
        <w:t xml:space="preserve"> methane release rate </w:t>
      </w:r>
      <w:r w:rsidR="007775A7" w:rsidRPr="00C221DA">
        <w:rPr>
          <w:i/>
          <w:iCs/>
        </w:rPr>
        <w:t>L</w:t>
      </w:r>
      <w:r w:rsidR="007775A7" w:rsidRPr="00C221DA">
        <w:rPr>
          <w:i/>
          <w:iCs/>
          <w:vertAlign w:val="subscript"/>
        </w:rPr>
        <w:t>d</w:t>
      </w:r>
      <w:r w:rsidR="007775A7">
        <w:t xml:space="preserve"> produces an upstream methane emission rate on a lbs</w:t>
      </w:r>
      <w:r w:rsidR="000C3489">
        <w:t>.</w:t>
      </w:r>
      <w:r w:rsidR="007775A7">
        <w:t xml:space="preserve"> </w:t>
      </w:r>
      <w:r w:rsidR="00A565A3">
        <w:t xml:space="preserve">of </w:t>
      </w:r>
      <w:r w:rsidR="007775A7">
        <w:t>CH</w:t>
      </w:r>
      <w:r w:rsidR="007775A7" w:rsidRPr="000C3489">
        <w:rPr>
          <w:vertAlign w:val="subscript"/>
        </w:rPr>
        <w:t>4</w:t>
      </w:r>
      <w:r w:rsidR="007775A7">
        <w:t xml:space="preserve"> per MMBtu</w:t>
      </w:r>
      <w:r w:rsidR="000C3489">
        <w:t xml:space="preserve"> of delivered natural gas basis.</w:t>
      </w:r>
      <w:r w:rsidR="00A565A3">
        <w:t xml:space="preserve"> Figure 1 shows the relationship between the upstream methane release rate </w:t>
      </w:r>
      <w:r w:rsidR="00A565A3" w:rsidRPr="00C221DA">
        <w:rPr>
          <w:i/>
          <w:iCs/>
        </w:rPr>
        <w:t>L</w:t>
      </w:r>
      <w:r w:rsidR="00A565A3" w:rsidRPr="00C221DA">
        <w:rPr>
          <w:i/>
          <w:iCs/>
          <w:vertAlign w:val="subscript"/>
        </w:rPr>
        <w:t>d</w:t>
      </w:r>
      <w:r w:rsidR="00A565A3">
        <w:t xml:space="preserve"> and the upstream emission rate in carbon dioxide equivalents for gas.</w:t>
      </w:r>
    </w:p>
    <w:p w14:paraId="3308FDEC" w14:textId="07E6AD82" w:rsidR="00A565A3" w:rsidRDefault="00A565A3" w:rsidP="00BA1B95">
      <w:pPr>
        <w:rPr>
          <w:b/>
          <w:bCs/>
        </w:rPr>
      </w:pPr>
      <w:r w:rsidRPr="00805A0D">
        <w:rPr>
          <w:b/>
          <w:bCs/>
        </w:rPr>
        <w:t xml:space="preserve">Figure </w:t>
      </w:r>
      <w:r>
        <w:rPr>
          <w:b/>
          <w:bCs/>
        </w:rPr>
        <w:t>1:</w:t>
      </w:r>
      <w:r w:rsidRPr="00805A0D">
        <w:rPr>
          <w:b/>
          <w:bCs/>
        </w:rPr>
        <w:t xml:space="preserve"> Upstream</w:t>
      </w:r>
      <w:r>
        <w:rPr>
          <w:b/>
          <w:bCs/>
        </w:rPr>
        <w:t xml:space="preserve"> methane emission rate as a function of the upstream release rate</w:t>
      </w:r>
    </w:p>
    <w:p w14:paraId="5F81EE80" w14:textId="188CE625" w:rsidR="00A565A3" w:rsidRDefault="00A565A3" w:rsidP="00BA1B95">
      <w:pPr>
        <w:rPr>
          <w:b/>
          <w:bCs/>
        </w:rPr>
      </w:pPr>
      <w:r>
        <w:rPr>
          <w:b/>
          <w:bCs/>
        </w:rPr>
        <w:t xml:space="preserve"> </w:t>
      </w:r>
      <w:r>
        <w:rPr>
          <w:b/>
          <w:bCs/>
          <w:noProof/>
        </w:rPr>
        <w:drawing>
          <wp:inline distT="0" distB="0" distL="0" distR="0" wp14:anchorId="3821F462" wp14:editId="782493CF">
            <wp:extent cx="3549650" cy="241678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1639" cy="2424946"/>
                    </a:xfrm>
                    <a:prstGeom prst="rect">
                      <a:avLst/>
                    </a:prstGeom>
                    <a:noFill/>
                  </pic:spPr>
                </pic:pic>
              </a:graphicData>
            </a:graphic>
          </wp:inline>
        </w:drawing>
      </w:r>
    </w:p>
    <w:p w14:paraId="3FFE9609" w14:textId="1CFC041B" w:rsidR="00EA6EB5" w:rsidRDefault="00EA6EB5" w:rsidP="00EA6EB5">
      <w:pPr>
        <w:pStyle w:val="Heading3"/>
      </w:pPr>
      <w:bookmarkStart w:id="8" w:name="_Toc43052737"/>
      <w:r>
        <w:lastRenderedPageBreak/>
        <w:t xml:space="preserve">Methane </w:t>
      </w:r>
      <w:r w:rsidR="00CA7E9E">
        <w:t>emission</w:t>
      </w:r>
      <w:r>
        <w:t xml:space="preserve"> rate for the Northwest</w:t>
      </w:r>
      <w:bookmarkEnd w:id="8"/>
    </w:p>
    <w:p w14:paraId="726C627D" w14:textId="77777777" w:rsidR="00414A12" w:rsidRDefault="00EA6EB5" w:rsidP="00EA6EB5">
      <w:r>
        <w:t xml:space="preserve">A value of 1.37 % was estimated for the upstream methane release rate </w:t>
      </w:r>
      <w:r w:rsidRPr="000904ED">
        <w:rPr>
          <w:i/>
          <w:iCs/>
        </w:rPr>
        <w:t>L</w:t>
      </w:r>
      <w:r w:rsidRPr="000904ED">
        <w:rPr>
          <w:i/>
          <w:iCs/>
          <w:vertAlign w:val="subscript"/>
        </w:rPr>
        <w:t>d</w:t>
      </w:r>
      <w:r>
        <w:t xml:space="preserve"> for natural gas delivered to the Northwest.  This value is based on a few key assumptions – the current and future natural gas source mix, and the associated methane release rates.  </w:t>
      </w:r>
    </w:p>
    <w:p w14:paraId="7E9B7473" w14:textId="2274FF56" w:rsidR="006E7149" w:rsidRDefault="00414A12" w:rsidP="00EA6EB5">
      <w:r>
        <w:t xml:space="preserve">Currently, roughly 65 % of the gas delivered for use in the Northwest is from Western Canada (British Columbia and Alberta), and 35 % from the US Rockies (Utah, Wyoming, Colorado). </w:t>
      </w:r>
      <w:r w:rsidR="00EA6EB5">
        <w:t>This</w:t>
      </w:r>
      <w:r>
        <w:t xml:space="preserve"> is approximate, and the</w:t>
      </w:r>
      <w:r w:rsidR="00EA6EB5">
        <w:t xml:space="preserve"> mix may change over time</w:t>
      </w:r>
      <w:r>
        <w:t xml:space="preserve">, which </w:t>
      </w:r>
      <w:r w:rsidR="00EA6EB5">
        <w:t xml:space="preserve">adds a layer of uncertainty.  </w:t>
      </w:r>
      <w:r w:rsidR="006E7149">
        <w:t xml:space="preserve">For regional upstream methane release rates </w:t>
      </w:r>
      <w:r w:rsidR="006E7149" w:rsidRPr="00C221DA">
        <w:rPr>
          <w:i/>
          <w:iCs/>
        </w:rPr>
        <w:t>L</w:t>
      </w:r>
      <w:r w:rsidR="006E7149" w:rsidRPr="00C221DA">
        <w:rPr>
          <w:i/>
          <w:iCs/>
          <w:vertAlign w:val="subscript"/>
        </w:rPr>
        <w:t>d</w:t>
      </w:r>
      <w:r w:rsidR="006E7149">
        <w:t>, the GHGenius model value of 0.77</w:t>
      </w:r>
      <w:r>
        <w:t xml:space="preserve"> </w:t>
      </w:r>
      <w:r w:rsidR="006E7149">
        <w:t xml:space="preserve">% was </w:t>
      </w:r>
      <w:r>
        <w:t>used</w:t>
      </w:r>
      <w:r w:rsidR="006E7149">
        <w:t>, and for the US Rockies 2.47%, the low estimate from the EDF studies</w:t>
      </w:r>
      <w:r w:rsidR="000904ED">
        <w:t xml:space="preserve"> for the US</w:t>
      </w:r>
      <w:r w:rsidR="006E7149">
        <w:t>.</w:t>
      </w:r>
      <w:r>
        <w:t xml:space="preserve">  Over time, with either new regulation, or volunteer efforts by the industry, the methane release rate from the US Rockies was assumed to improve over time and eventually decline to 0.77 %. </w:t>
      </w:r>
      <w:r w:rsidR="006E7149">
        <w:t xml:space="preserve">   </w:t>
      </w:r>
    </w:p>
    <w:p w14:paraId="156979A2" w14:textId="119B87D0" w:rsidR="00414A12" w:rsidRPr="00EA6EB5" w:rsidRDefault="000E775A" w:rsidP="00EA6EB5">
      <w:r>
        <w:t xml:space="preserve">Table </w:t>
      </w:r>
      <w:r w:rsidR="000904ED">
        <w:t>8</w:t>
      </w:r>
      <w:r>
        <w:t xml:space="preserve"> shows the key factors for setting the Northwest upstream methane release rate, and Table </w:t>
      </w:r>
      <w:r w:rsidR="000904ED">
        <w:t>9</w:t>
      </w:r>
      <w:r>
        <w:t xml:space="preserve"> displays the resulting natural gas emission factors.  </w:t>
      </w:r>
    </w:p>
    <w:p w14:paraId="7065E531" w14:textId="5A90026F" w:rsidR="00EA6EB5" w:rsidRPr="006E7149" w:rsidRDefault="006E7149" w:rsidP="006E7149">
      <w:pPr>
        <w:rPr>
          <w:b/>
          <w:bCs/>
        </w:rPr>
      </w:pPr>
      <w:r w:rsidRPr="006E7149">
        <w:rPr>
          <w:b/>
          <w:bCs/>
        </w:rPr>
        <w:t xml:space="preserve">Table </w:t>
      </w:r>
      <w:r w:rsidR="000904ED">
        <w:rPr>
          <w:b/>
          <w:bCs/>
        </w:rPr>
        <w:t>8</w:t>
      </w:r>
      <w:r w:rsidRPr="006E7149">
        <w:rPr>
          <w:b/>
          <w:bCs/>
        </w:rPr>
        <w:t xml:space="preserve">: </w:t>
      </w:r>
      <w:r>
        <w:rPr>
          <w:b/>
          <w:bCs/>
        </w:rPr>
        <w:t>Northwest upstream methane release rate</w:t>
      </w:r>
    </w:p>
    <w:tbl>
      <w:tblPr>
        <w:tblStyle w:val="TableGrid"/>
        <w:tblW w:w="8545" w:type="dxa"/>
        <w:tblLook w:val="04A0" w:firstRow="1" w:lastRow="0" w:firstColumn="1" w:lastColumn="0" w:noHBand="0" w:noVBand="1"/>
      </w:tblPr>
      <w:tblGrid>
        <w:gridCol w:w="1885"/>
        <w:gridCol w:w="1080"/>
        <w:gridCol w:w="1530"/>
        <w:gridCol w:w="4050"/>
      </w:tblGrid>
      <w:tr w:rsidR="00EA6EB5" w14:paraId="7B1AA4BB" w14:textId="77777777" w:rsidTr="000904ED">
        <w:trPr>
          <w:trHeight w:val="438"/>
        </w:trPr>
        <w:tc>
          <w:tcPr>
            <w:tcW w:w="1885" w:type="dxa"/>
            <w:shd w:val="clear" w:color="auto" w:fill="D3BF7B" w:themeFill="text2" w:themeFillShade="BF"/>
            <w:vAlign w:val="center"/>
          </w:tcPr>
          <w:p w14:paraId="694F614E" w14:textId="77777777" w:rsidR="00EA6EB5" w:rsidRPr="00AE5871" w:rsidRDefault="00EA6EB5" w:rsidP="00EA6EB5">
            <w:pPr>
              <w:jc w:val="center"/>
              <w:rPr>
                <w:b/>
                <w:bCs/>
              </w:rPr>
            </w:pPr>
            <w:r w:rsidRPr="00AE5871">
              <w:rPr>
                <w:b/>
                <w:bCs/>
              </w:rPr>
              <w:t>Region</w:t>
            </w:r>
          </w:p>
        </w:tc>
        <w:tc>
          <w:tcPr>
            <w:tcW w:w="1080" w:type="dxa"/>
            <w:shd w:val="clear" w:color="auto" w:fill="D3BF7B" w:themeFill="text2" w:themeFillShade="BF"/>
            <w:vAlign w:val="center"/>
          </w:tcPr>
          <w:p w14:paraId="2554E3B9" w14:textId="77777777" w:rsidR="00EA6EB5" w:rsidRPr="00AE5871" w:rsidRDefault="00EA6EB5" w:rsidP="00EA6EB5">
            <w:pPr>
              <w:jc w:val="center"/>
              <w:rPr>
                <w:b/>
                <w:bCs/>
              </w:rPr>
            </w:pPr>
            <w:r w:rsidRPr="00C221DA">
              <w:rPr>
                <w:b/>
                <w:bCs/>
                <w:i/>
                <w:iCs/>
              </w:rPr>
              <w:t>L</w:t>
            </w:r>
            <w:r w:rsidRPr="00C221DA">
              <w:rPr>
                <w:b/>
                <w:bCs/>
                <w:i/>
                <w:iCs/>
                <w:vertAlign w:val="subscript"/>
              </w:rPr>
              <w:t>d</w:t>
            </w:r>
            <w:r w:rsidRPr="00AE5871">
              <w:rPr>
                <w:b/>
                <w:bCs/>
              </w:rPr>
              <w:t xml:space="preserve"> %</w:t>
            </w:r>
          </w:p>
        </w:tc>
        <w:tc>
          <w:tcPr>
            <w:tcW w:w="1530" w:type="dxa"/>
            <w:shd w:val="clear" w:color="auto" w:fill="D3BF7B" w:themeFill="text2" w:themeFillShade="BF"/>
            <w:vAlign w:val="center"/>
          </w:tcPr>
          <w:p w14:paraId="44B109BF" w14:textId="77777777" w:rsidR="00EA6EB5" w:rsidRPr="00AE5871" w:rsidRDefault="00EA6EB5" w:rsidP="00EA6EB5">
            <w:pPr>
              <w:jc w:val="center"/>
              <w:rPr>
                <w:b/>
                <w:bCs/>
              </w:rPr>
            </w:pPr>
            <w:r w:rsidRPr="004C6E4E">
              <w:rPr>
                <w:b/>
                <w:bCs/>
              </w:rPr>
              <w:t>% of regional gas</w:t>
            </w:r>
          </w:p>
        </w:tc>
        <w:tc>
          <w:tcPr>
            <w:tcW w:w="4050" w:type="dxa"/>
            <w:shd w:val="clear" w:color="auto" w:fill="D3BF7B" w:themeFill="text2" w:themeFillShade="BF"/>
            <w:vAlign w:val="center"/>
          </w:tcPr>
          <w:p w14:paraId="56CFC08C" w14:textId="77777777" w:rsidR="00EA6EB5" w:rsidRPr="00AE5871" w:rsidRDefault="00EA6EB5" w:rsidP="00EA6EB5">
            <w:pPr>
              <w:jc w:val="center"/>
              <w:rPr>
                <w:b/>
                <w:bCs/>
              </w:rPr>
            </w:pPr>
            <w:r w:rsidRPr="00AE5871">
              <w:rPr>
                <w:b/>
                <w:bCs/>
              </w:rPr>
              <w:t>Source</w:t>
            </w:r>
          </w:p>
        </w:tc>
      </w:tr>
      <w:tr w:rsidR="00EA6EB5" w14:paraId="645100B2" w14:textId="77777777" w:rsidTr="004F77B6">
        <w:trPr>
          <w:trHeight w:val="438"/>
        </w:trPr>
        <w:tc>
          <w:tcPr>
            <w:tcW w:w="1885" w:type="dxa"/>
            <w:shd w:val="clear" w:color="auto" w:fill="FDF3D0" w:themeFill="accent3" w:themeFillTint="33"/>
            <w:vAlign w:val="center"/>
          </w:tcPr>
          <w:p w14:paraId="482E8D06" w14:textId="77777777" w:rsidR="00EA6EB5" w:rsidRDefault="00EA6EB5" w:rsidP="00EA6EB5">
            <w:pPr>
              <w:jc w:val="center"/>
            </w:pPr>
            <w:r>
              <w:t>Northwest Planning Region</w:t>
            </w:r>
          </w:p>
        </w:tc>
        <w:tc>
          <w:tcPr>
            <w:tcW w:w="1080" w:type="dxa"/>
            <w:shd w:val="clear" w:color="auto" w:fill="FDF3D0" w:themeFill="accent3" w:themeFillTint="33"/>
            <w:vAlign w:val="center"/>
          </w:tcPr>
          <w:p w14:paraId="3CE4F905" w14:textId="77777777" w:rsidR="00EA6EB5" w:rsidRDefault="00EA6EB5" w:rsidP="00EA6EB5">
            <w:pPr>
              <w:jc w:val="center"/>
            </w:pPr>
            <w:r>
              <w:t>1.37</w:t>
            </w:r>
          </w:p>
        </w:tc>
        <w:tc>
          <w:tcPr>
            <w:tcW w:w="1530" w:type="dxa"/>
            <w:shd w:val="clear" w:color="auto" w:fill="FDF3D0" w:themeFill="accent3" w:themeFillTint="33"/>
            <w:vAlign w:val="center"/>
          </w:tcPr>
          <w:p w14:paraId="3732067D" w14:textId="77777777" w:rsidR="00EA6EB5" w:rsidRDefault="00EA6EB5" w:rsidP="00EA6EB5">
            <w:pPr>
              <w:jc w:val="center"/>
            </w:pPr>
          </w:p>
        </w:tc>
        <w:tc>
          <w:tcPr>
            <w:tcW w:w="4050" w:type="dxa"/>
            <w:shd w:val="clear" w:color="auto" w:fill="FDF3D0" w:themeFill="accent3" w:themeFillTint="33"/>
            <w:vAlign w:val="center"/>
          </w:tcPr>
          <w:p w14:paraId="152FC2CD" w14:textId="77777777" w:rsidR="00EA6EB5" w:rsidRDefault="00EA6EB5" w:rsidP="00EA6EB5">
            <w:pPr>
              <w:jc w:val="center"/>
            </w:pPr>
            <w:r>
              <w:t>Weighted average of loss estimates for BC/Canadian gas and US Rockies gas</w:t>
            </w:r>
          </w:p>
        </w:tc>
      </w:tr>
      <w:tr w:rsidR="00EA6EB5" w14:paraId="19E49892" w14:textId="77777777" w:rsidTr="004F77B6">
        <w:trPr>
          <w:trHeight w:val="869"/>
        </w:trPr>
        <w:tc>
          <w:tcPr>
            <w:tcW w:w="1885" w:type="dxa"/>
            <w:vAlign w:val="center"/>
          </w:tcPr>
          <w:p w14:paraId="12949EC8" w14:textId="77777777" w:rsidR="00EA6EB5" w:rsidRDefault="00EA6EB5" w:rsidP="00EA6EB5">
            <w:pPr>
              <w:jc w:val="center"/>
            </w:pPr>
            <w:r>
              <w:t>BC/AB</w:t>
            </w:r>
          </w:p>
        </w:tc>
        <w:tc>
          <w:tcPr>
            <w:tcW w:w="1080" w:type="dxa"/>
            <w:vAlign w:val="center"/>
          </w:tcPr>
          <w:p w14:paraId="6A9C2AA2" w14:textId="77777777" w:rsidR="00EA6EB5" w:rsidRDefault="00EA6EB5" w:rsidP="00EA6EB5">
            <w:pPr>
              <w:jc w:val="center"/>
            </w:pPr>
            <w:r>
              <w:t>0.77</w:t>
            </w:r>
          </w:p>
        </w:tc>
        <w:tc>
          <w:tcPr>
            <w:tcW w:w="1530" w:type="dxa"/>
            <w:vAlign w:val="center"/>
          </w:tcPr>
          <w:p w14:paraId="041C69BD" w14:textId="77777777" w:rsidR="00EA6EB5" w:rsidRDefault="00EA6EB5" w:rsidP="00EA6EB5">
            <w:pPr>
              <w:jc w:val="center"/>
            </w:pPr>
            <w:r w:rsidRPr="004C6E4E">
              <w:t>65</w:t>
            </w:r>
          </w:p>
        </w:tc>
        <w:tc>
          <w:tcPr>
            <w:tcW w:w="4050" w:type="dxa"/>
            <w:vAlign w:val="center"/>
          </w:tcPr>
          <w:p w14:paraId="511125D1" w14:textId="3EA64266" w:rsidR="00EA6EB5" w:rsidRDefault="006E7149" w:rsidP="00EA6EB5">
            <w:pPr>
              <w:jc w:val="center"/>
            </w:pPr>
            <w:r>
              <w:t>Calculated from the inventory model</w:t>
            </w:r>
            <w:r w:rsidR="00EA6EB5">
              <w:t xml:space="preserve"> GHGenius with BC sourced gas</w:t>
            </w:r>
          </w:p>
        </w:tc>
      </w:tr>
      <w:tr w:rsidR="00EA6EB5" w14:paraId="2240CD97" w14:textId="77777777" w:rsidTr="004F77B6">
        <w:trPr>
          <w:trHeight w:val="1747"/>
        </w:trPr>
        <w:tc>
          <w:tcPr>
            <w:tcW w:w="1885" w:type="dxa"/>
            <w:vAlign w:val="center"/>
          </w:tcPr>
          <w:p w14:paraId="71BDE41D" w14:textId="77777777" w:rsidR="00EA6EB5" w:rsidRDefault="00EA6EB5" w:rsidP="00EA6EB5">
            <w:pPr>
              <w:jc w:val="center"/>
            </w:pPr>
            <w:r>
              <w:t>US Rockies</w:t>
            </w:r>
          </w:p>
        </w:tc>
        <w:tc>
          <w:tcPr>
            <w:tcW w:w="1080" w:type="dxa"/>
            <w:vAlign w:val="center"/>
          </w:tcPr>
          <w:p w14:paraId="1CE52CE4" w14:textId="77777777" w:rsidR="00EA6EB5" w:rsidRDefault="00EA6EB5" w:rsidP="00EA6EB5">
            <w:pPr>
              <w:jc w:val="center"/>
            </w:pPr>
            <w:r>
              <w:t>2.47</w:t>
            </w:r>
          </w:p>
        </w:tc>
        <w:tc>
          <w:tcPr>
            <w:tcW w:w="1530" w:type="dxa"/>
            <w:vAlign w:val="center"/>
          </w:tcPr>
          <w:p w14:paraId="1EF7E027" w14:textId="77777777" w:rsidR="00EA6EB5" w:rsidRDefault="00EA6EB5" w:rsidP="00EA6EB5">
            <w:pPr>
              <w:jc w:val="center"/>
            </w:pPr>
            <w:r w:rsidRPr="004C6E4E">
              <w:t>35</w:t>
            </w:r>
          </w:p>
        </w:tc>
        <w:tc>
          <w:tcPr>
            <w:tcW w:w="4050" w:type="dxa"/>
            <w:vAlign w:val="center"/>
          </w:tcPr>
          <w:p w14:paraId="265EE9EC" w14:textId="77777777" w:rsidR="00EA6EB5" w:rsidRDefault="00EA6EB5" w:rsidP="00EA6EB5">
            <w:pPr>
              <w:jc w:val="center"/>
            </w:pPr>
            <w:r>
              <w:t>Low range of EDF coordinated studies measuring facility-scale emissions from US gas regions including the Rockies</w:t>
            </w:r>
          </w:p>
        </w:tc>
      </w:tr>
    </w:tbl>
    <w:p w14:paraId="7E1D46C7" w14:textId="77777777" w:rsidR="00BB1318" w:rsidRDefault="00BB1318" w:rsidP="00B44A70">
      <w:pPr>
        <w:rPr>
          <w:b/>
          <w:bCs/>
        </w:rPr>
      </w:pPr>
    </w:p>
    <w:p w14:paraId="4E54255D" w14:textId="01B46437" w:rsidR="00BB1318" w:rsidRPr="00BA1B95" w:rsidRDefault="00B44A70" w:rsidP="00B44A70">
      <w:pPr>
        <w:rPr>
          <w:b/>
          <w:bCs/>
        </w:rPr>
      </w:pPr>
      <w:r w:rsidRPr="00A46078">
        <w:rPr>
          <w:b/>
          <w:bCs/>
        </w:rPr>
        <w:t xml:space="preserve">Table </w:t>
      </w:r>
      <w:r w:rsidR="000904ED">
        <w:rPr>
          <w:b/>
          <w:bCs/>
        </w:rPr>
        <w:t>9</w:t>
      </w:r>
      <w:r w:rsidRPr="00A46078">
        <w:rPr>
          <w:b/>
          <w:bCs/>
        </w:rPr>
        <w:t xml:space="preserve">: </w:t>
      </w:r>
      <w:r w:rsidR="00BB1318">
        <w:rPr>
          <w:b/>
          <w:bCs/>
        </w:rPr>
        <w:t>Northwest n</w:t>
      </w:r>
      <w:r w:rsidR="00D34962">
        <w:rPr>
          <w:b/>
          <w:bCs/>
        </w:rPr>
        <w:t xml:space="preserve">atural </w:t>
      </w:r>
      <w:r w:rsidR="00BB1318">
        <w:rPr>
          <w:b/>
          <w:bCs/>
        </w:rPr>
        <w:t>g</w:t>
      </w:r>
      <w:r w:rsidR="00D34962">
        <w:rPr>
          <w:b/>
          <w:bCs/>
        </w:rPr>
        <w:t xml:space="preserve">as </w:t>
      </w:r>
      <w:r w:rsidR="00BB1318">
        <w:rPr>
          <w:b/>
          <w:bCs/>
        </w:rPr>
        <w:t>e</w:t>
      </w:r>
      <w:r w:rsidRPr="00A46078">
        <w:rPr>
          <w:b/>
          <w:bCs/>
        </w:rPr>
        <w:t xml:space="preserve">mission </w:t>
      </w:r>
      <w:r w:rsidR="00BB1318">
        <w:rPr>
          <w:b/>
          <w:bCs/>
        </w:rPr>
        <w:t>r</w:t>
      </w:r>
      <w:r w:rsidRPr="00A46078">
        <w:rPr>
          <w:b/>
          <w:bCs/>
        </w:rPr>
        <w:t>ate – on a per unit of fuel delivered basis</w:t>
      </w:r>
    </w:p>
    <w:tbl>
      <w:tblPr>
        <w:tblStyle w:val="TableGrid"/>
        <w:tblW w:w="0" w:type="auto"/>
        <w:tblLook w:val="04A0" w:firstRow="1" w:lastRow="0" w:firstColumn="1" w:lastColumn="0" w:noHBand="0" w:noVBand="1"/>
      </w:tblPr>
      <w:tblGrid>
        <w:gridCol w:w="2695"/>
        <w:gridCol w:w="1890"/>
        <w:gridCol w:w="2520"/>
      </w:tblGrid>
      <w:tr w:rsidR="00B44A70" w14:paraId="166BE864" w14:textId="77777777" w:rsidTr="000904ED">
        <w:trPr>
          <w:trHeight w:val="521"/>
        </w:trPr>
        <w:tc>
          <w:tcPr>
            <w:tcW w:w="2695" w:type="dxa"/>
            <w:shd w:val="clear" w:color="auto" w:fill="D3BF7B" w:themeFill="text2" w:themeFillShade="BF"/>
            <w:vAlign w:val="center"/>
          </w:tcPr>
          <w:p w14:paraId="23FB8932" w14:textId="09440CE9" w:rsidR="00B44A70" w:rsidRPr="000904ED" w:rsidRDefault="00D34962" w:rsidP="00EA6EB5">
            <w:pPr>
              <w:rPr>
                <w:b/>
                <w:bCs/>
              </w:rPr>
            </w:pPr>
            <w:r w:rsidRPr="000904ED">
              <w:rPr>
                <w:b/>
                <w:bCs/>
              </w:rPr>
              <w:t xml:space="preserve">Upstream methane </w:t>
            </w:r>
            <w:r w:rsidR="00BB1318" w:rsidRPr="000904ED">
              <w:rPr>
                <w:b/>
                <w:bCs/>
              </w:rPr>
              <w:t>release</w:t>
            </w:r>
            <w:r w:rsidRPr="000904ED">
              <w:rPr>
                <w:b/>
                <w:bCs/>
              </w:rPr>
              <w:t xml:space="preserve"> rate </w:t>
            </w:r>
            <w:r w:rsidRPr="00C221DA">
              <w:rPr>
                <w:b/>
                <w:bCs/>
                <w:i/>
                <w:iCs/>
              </w:rPr>
              <w:t>L</w:t>
            </w:r>
            <w:r w:rsidRPr="00C221DA">
              <w:rPr>
                <w:b/>
                <w:bCs/>
                <w:i/>
                <w:iCs/>
                <w:vertAlign w:val="subscript"/>
              </w:rPr>
              <w:t>d</w:t>
            </w:r>
            <w:r w:rsidRPr="000904ED">
              <w:rPr>
                <w:b/>
                <w:bCs/>
              </w:rPr>
              <w:t xml:space="preserve"> = </w:t>
            </w:r>
            <w:r w:rsidR="000107F3" w:rsidRPr="000904ED">
              <w:rPr>
                <w:b/>
                <w:bCs/>
              </w:rPr>
              <w:t>1.</w:t>
            </w:r>
            <w:r w:rsidR="00BB1318" w:rsidRPr="000904ED">
              <w:rPr>
                <w:b/>
                <w:bCs/>
              </w:rPr>
              <w:t>37</w:t>
            </w:r>
            <w:r w:rsidRPr="000904ED">
              <w:rPr>
                <w:b/>
                <w:bCs/>
              </w:rPr>
              <w:t xml:space="preserve">% </w:t>
            </w:r>
          </w:p>
        </w:tc>
        <w:tc>
          <w:tcPr>
            <w:tcW w:w="1890" w:type="dxa"/>
            <w:shd w:val="clear" w:color="auto" w:fill="D3BF7B" w:themeFill="text2" w:themeFillShade="BF"/>
            <w:vAlign w:val="center"/>
          </w:tcPr>
          <w:p w14:paraId="03CB05A1" w14:textId="77777777" w:rsidR="00B44A70" w:rsidRPr="000904ED" w:rsidRDefault="00B44A70" w:rsidP="00EA6EB5">
            <w:pPr>
              <w:jc w:val="center"/>
              <w:rPr>
                <w:b/>
                <w:bCs/>
              </w:rPr>
            </w:pPr>
            <w:r w:rsidRPr="000904ED">
              <w:rPr>
                <w:b/>
                <w:bCs/>
              </w:rPr>
              <w:t>Greenhouse Gas</w:t>
            </w:r>
          </w:p>
          <w:p w14:paraId="1EA3A963" w14:textId="6D024F5E" w:rsidR="00B44A70" w:rsidRPr="000904ED" w:rsidRDefault="00576A62" w:rsidP="00EA6EB5">
            <w:pPr>
              <w:jc w:val="center"/>
              <w:rPr>
                <w:b/>
                <w:bCs/>
              </w:rPr>
            </w:pPr>
            <w:r w:rsidRPr="000904ED">
              <w:rPr>
                <w:b/>
                <w:bCs/>
              </w:rPr>
              <w:t>l</w:t>
            </w:r>
            <w:r w:rsidR="00B44A70" w:rsidRPr="000904ED">
              <w:rPr>
                <w:b/>
                <w:bCs/>
              </w:rPr>
              <w:t>b</w:t>
            </w:r>
            <w:r w:rsidRPr="000904ED">
              <w:rPr>
                <w:b/>
                <w:bCs/>
              </w:rPr>
              <w:t>s</w:t>
            </w:r>
            <w:r w:rsidR="00B44A70" w:rsidRPr="000904ED">
              <w:rPr>
                <w:b/>
                <w:bCs/>
              </w:rPr>
              <w:t>. GHG/MMBtu</w:t>
            </w:r>
          </w:p>
        </w:tc>
        <w:tc>
          <w:tcPr>
            <w:tcW w:w="2520" w:type="dxa"/>
            <w:shd w:val="clear" w:color="auto" w:fill="D3BF7B" w:themeFill="text2" w:themeFillShade="BF"/>
            <w:vAlign w:val="center"/>
          </w:tcPr>
          <w:p w14:paraId="07A601C7" w14:textId="77777777" w:rsidR="00B44A70" w:rsidRPr="000904ED" w:rsidRDefault="00B44A70" w:rsidP="00EA6EB5">
            <w:pPr>
              <w:jc w:val="center"/>
              <w:rPr>
                <w:b/>
                <w:bCs/>
              </w:rPr>
            </w:pPr>
            <w:r w:rsidRPr="000904ED">
              <w:rPr>
                <w:b/>
                <w:bCs/>
              </w:rPr>
              <w:t>Carbon Dioxide Equivalents</w:t>
            </w:r>
          </w:p>
          <w:p w14:paraId="069ED55C" w14:textId="388B91B1" w:rsidR="00B44A70" w:rsidRPr="000904ED" w:rsidRDefault="00576A62" w:rsidP="00EA6EB5">
            <w:pPr>
              <w:jc w:val="center"/>
              <w:rPr>
                <w:b/>
                <w:bCs/>
              </w:rPr>
            </w:pPr>
            <w:r w:rsidRPr="000904ED">
              <w:rPr>
                <w:b/>
                <w:bCs/>
              </w:rPr>
              <w:t>l</w:t>
            </w:r>
            <w:r w:rsidR="00B44A70" w:rsidRPr="000904ED">
              <w:rPr>
                <w:b/>
                <w:bCs/>
              </w:rPr>
              <w:t>b</w:t>
            </w:r>
            <w:r w:rsidRPr="000904ED">
              <w:rPr>
                <w:b/>
                <w:bCs/>
              </w:rPr>
              <w:t>s</w:t>
            </w:r>
            <w:r w:rsidR="00B44A70" w:rsidRPr="000904ED">
              <w:rPr>
                <w:b/>
                <w:bCs/>
              </w:rPr>
              <w:t>. CO</w:t>
            </w:r>
            <w:r w:rsidR="00B44A70" w:rsidRPr="000904ED">
              <w:rPr>
                <w:b/>
                <w:bCs/>
                <w:vertAlign w:val="subscript"/>
              </w:rPr>
              <w:t>2</w:t>
            </w:r>
            <w:r w:rsidR="00B44A70" w:rsidRPr="000904ED">
              <w:rPr>
                <w:b/>
                <w:bCs/>
              </w:rPr>
              <w:t>e/MMBtu</w:t>
            </w:r>
          </w:p>
        </w:tc>
      </w:tr>
      <w:tr w:rsidR="00B44A70" w14:paraId="3461C922" w14:textId="77777777" w:rsidTr="00BB1318">
        <w:tc>
          <w:tcPr>
            <w:tcW w:w="2695" w:type="dxa"/>
            <w:vAlign w:val="center"/>
          </w:tcPr>
          <w:p w14:paraId="44BF001F" w14:textId="77777777" w:rsidR="00B44A70" w:rsidRDefault="00B44A70" w:rsidP="00EA6EB5">
            <w:pPr>
              <w:jc w:val="center"/>
            </w:pPr>
            <w:r>
              <w:t>Combustion</w:t>
            </w:r>
          </w:p>
        </w:tc>
        <w:tc>
          <w:tcPr>
            <w:tcW w:w="1890" w:type="dxa"/>
            <w:vAlign w:val="center"/>
          </w:tcPr>
          <w:p w14:paraId="6E747D26" w14:textId="77777777" w:rsidR="00B44A70" w:rsidRDefault="00B44A70" w:rsidP="00EA6EB5">
            <w:pPr>
              <w:jc w:val="center"/>
            </w:pPr>
          </w:p>
        </w:tc>
        <w:tc>
          <w:tcPr>
            <w:tcW w:w="2520" w:type="dxa"/>
            <w:vAlign w:val="center"/>
          </w:tcPr>
          <w:p w14:paraId="05F21D7C" w14:textId="77777777" w:rsidR="00B44A70" w:rsidRDefault="00B44A70" w:rsidP="00EA6EB5">
            <w:pPr>
              <w:jc w:val="center"/>
            </w:pPr>
          </w:p>
        </w:tc>
      </w:tr>
      <w:tr w:rsidR="00B44A70" w14:paraId="5CDF0DC4" w14:textId="77777777" w:rsidTr="00BB1318">
        <w:tc>
          <w:tcPr>
            <w:tcW w:w="2695" w:type="dxa"/>
            <w:vAlign w:val="center"/>
          </w:tcPr>
          <w:p w14:paraId="266DE1D7" w14:textId="77777777" w:rsidR="00B44A70" w:rsidRDefault="00B44A70" w:rsidP="00EA6EB5">
            <w:pPr>
              <w:jc w:val="center"/>
            </w:pPr>
            <w:r>
              <w:t>CO</w:t>
            </w:r>
            <w:r w:rsidRPr="001512E1">
              <w:rPr>
                <w:vertAlign w:val="subscript"/>
              </w:rPr>
              <w:t>2</w:t>
            </w:r>
          </w:p>
        </w:tc>
        <w:tc>
          <w:tcPr>
            <w:tcW w:w="1890" w:type="dxa"/>
            <w:vAlign w:val="center"/>
          </w:tcPr>
          <w:p w14:paraId="607DA954" w14:textId="63CEE15D" w:rsidR="00B44A70" w:rsidRDefault="00D34962" w:rsidP="00EA6EB5">
            <w:pPr>
              <w:jc w:val="center"/>
            </w:pPr>
            <w:r>
              <w:t>116.88</w:t>
            </w:r>
          </w:p>
        </w:tc>
        <w:tc>
          <w:tcPr>
            <w:tcW w:w="2520" w:type="dxa"/>
            <w:vAlign w:val="center"/>
          </w:tcPr>
          <w:p w14:paraId="4FD5EC82" w14:textId="2E1310BC" w:rsidR="00B44A70" w:rsidRDefault="00D34962" w:rsidP="00EA6EB5">
            <w:pPr>
              <w:jc w:val="center"/>
            </w:pPr>
            <w:r>
              <w:t>116.88</w:t>
            </w:r>
          </w:p>
        </w:tc>
      </w:tr>
      <w:tr w:rsidR="00B44A70" w14:paraId="514CF036" w14:textId="77777777" w:rsidTr="00BB1318">
        <w:tc>
          <w:tcPr>
            <w:tcW w:w="2695" w:type="dxa"/>
            <w:vAlign w:val="center"/>
          </w:tcPr>
          <w:p w14:paraId="74201089" w14:textId="77777777" w:rsidR="00B44A70" w:rsidRDefault="00B44A70" w:rsidP="00EA6EB5">
            <w:pPr>
              <w:jc w:val="center"/>
            </w:pPr>
            <w:r>
              <w:t>CH</w:t>
            </w:r>
            <w:r w:rsidRPr="00433AFA">
              <w:rPr>
                <w:vertAlign w:val="subscript"/>
              </w:rPr>
              <w:t>4</w:t>
            </w:r>
          </w:p>
        </w:tc>
        <w:tc>
          <w:tcPr>
            <w:tcW w:w="1890" w:type="dxa"/>
            <w:vAlign w:val="center"/>
          </w:tcPr>
          <w:p w14:paraId="0D274D09" w14:textId="3228F55E" w:rsidR="00B44A70" w:rsidRDefault="00D34962" w:rsidP="00EA6EB5">
            <w:pPr>
              <w:jc w:val="center"/>
            </w:pPr>
            <w:r>
              <w:t>0.0022</w:t>
            </w:r>
          </w:p>
        </w:tc>
        <w:tc>
          <w:tcPr>
            <w:tcW w:w="2520" w:type="dxa"/>
            <w:vAlign w:val="center"/>
          </w:tcPr>
          <w:p w14:paraId="37C31016" w14:textId="2D6397BE" w:rsidR="00B44A70" w:rsidRDefault="00D34962" w:rsidP="00EA6EB5">
            <w:pPr>
              <w:jc w:val="center"/>
            </w:pPr>
            <w:r>
              <w:t>0.0748</w:t>
            </w:r>
          </w:p>
        </w:tc>
      </w:tr>
      <w:tr w:rsidR="00B44A70" w14:paraId="23129BEB" w14:textId="77777777" w:rsidTr="00BB1318">
        <w:tc>
          <w:tcPr>
            <w:tcW w:w="2695" w:type="dxa"/>
            <w:vAlign w:val="center"/>
          </w:tcPr>
          <w:p w14:paraId="0FA827C1" w14:textId="77777777" w:rsidR="00B44A70" w:rsidRDefault="00B44A70" w:rsidP="00EA6EB5">
            <w:pPr>
              <w:jc w:val="center"/>
            </w:pPr>
            <w:r>
              <w:t>N</w:t>
            </w:r>
            <w:r w:rsidRPr="00433AFA">
              <w:rPr>
                <w:vertAlign w:val="subscript"/>
              </w:rPr>
              <w:t>2</w:t>
            </w:r>
            <w:r>
              <w:t>O</w:t>
            </w:r>
          </w:p>
        </w:tc>
        <w:tc>
          <w:tcPr>
            <w:tcW w:w="1890" w:type="dxa"/>
            <w:vAlign w:val="center"/>
          </w:tcPr>
          <w:p w14:paraId="4109CC50" w14:textId="6859EF7D" w:rsidR="00B44A70" w:rsidRDefault="00D34962" w:rsidP="00EA6EB5">
            <w:pPr>
              <w:jc w:val="center"/>
            </w:pPr>
            <w:r>
              <w:t>0.0022</w:t>
            </w:r>
          </w:p>
        </w:tc>
        <w:tc>
          <w:tcPr>
            <w:tcW w:w="2520" w:type="dxa"/>
            <w:vAlign w:val="center"/>
          </w:tcPr>
          <w:p w14:paraId="2FEFF18E" w14:textId="5DA49CFD" w:rsidR="00B44A70" w:rsidRDefault="00D34962" w:rsidP="00EA6EB5">
            <w:pPr>
              <w:jc w:val="center"/>
            </w:pPr>
            <w:r>
              <w:t>0.6556</w:t>
            </w:r>
          </w:p>
        </w:tc>
      </w:tr>
      <w:tr w:rsidR="00B44A70" w14:paraId="1DB2C48C" w14:textId="77777777" w:rsidTr="00BB1318">
        <w:tc>
          <w:tcPr>
            <w:tcW w:w="2695" w:type="dxa"/>
            <w:shd w:val="clear" w:color="auto" w:fill="auto"/>
            <w:vAlign w:val="center"/>
          </w:tcPr>
          <w:p w14:paraId="1BF45D37" w14:textId="77777777" w:rsidR="00B44A70" w:rsidRDefault="00B44A70" w:rsidP="00EA6EB5">
            <w:pPr>
              <w:jc w:val="center"/>
            </w:pPr>
            <w:r>
              <w:t>Total Combustion</w:t>
            </w:r>
          </w:p>
        </w:tc>
        <w:tc>
          <w:tcPr>
            <w:tcW w:w="1890" w:type="dxa"/>
            <w:shd w:val="clear" w:color="auto" w:fill="auto"/>
            <w:vAlign w:val="center"/>
          </w:tcPr>
          <w:p w14:paraId="08A8CE77" w14:textId="77777777" w:rsidR="00B44A70" w:rsidRDefault="00B44A70" w:rsidP="00EA6EB5">
            <w:pPr>
              <w:jc w:val="center"/>
            </w:pPr>
          </w:p>
        </w:tc>
        <w:tc>
          <w:tcPr>
            <w:tcW w:w="2520" w:type="dxa"/>
            <w:shd w:val="clear" w:color="auto" w:fill="auto"/>
            <w:vAlign w:val="center"/>
          </w:tcPr>
          <w:p w14:paraId="4F0569A5" w14:textId="4A8F533D" w:rsidR="00B44A70" w:rsidRDefault="00D34962" w:rsidP="00EA6EB5">
            <w:pPr>
              <w:jc w:val="center"/>
            </w:pPr>
            <w:r>
              <w:t>118</w:t>
            </w:r>
          </w:p>
        </w:tc>
      </w:tr>
      <w:tr w:rsidR="00B44A70" w14:paraId="153F76BB" w14:textId="77777777" w:rsidTr="00BB1318">
        <w:tc>
          <w:tcPr>
            <w:tcW w:w="2695" w:type="dxa"/>
            <w:vAlign w:val="center"/>
          </w:tcPr>
          <w:p w14:paraId="6E2AEE05" w14:textId="77777777" w:rsidR="00B44A70" w:rsidRDefault="00B44A70" w:rsidP="00EA6EB5">
            <w:pPr>
              <w:jc w:val="center"/>
            </w:pPr>
            <w:r>
              <w:t>Upstream</w:t>
            </w:r>
          </w:p>
        </w:tc>
        <w:tc>
          <w:tcPr>
            <w:tcW w:w="1890" w:type="dxa"/>
            <w:vAlign w:val="center"/>
          </w:tcPr>
          <w:p w14:paraId="7FFA3ABC" w14:textId="77777777" w:rsidR="00B44A70" w:rsidRDefault="00B44A70" w:rsidP="00EA6EB5">
            <w:pPr>
              <w:jc w:val="center"/>
            </w:pPr>
          </w:p>
        </w:tc>
        <w:tc>
          <w:tcPr>
            <w:tcW w:w="2520" w:type="dxa"/>
            <w:vAlign w:val="center"/>
          </w:tcPr>
          <w:p w14:paraId="3DAC477E" w14:textId="77777777" w:rsidR="00B44A70" w:rsidRDefault="00B44A70" w:rsidP="00EA6EB5">
            <w:pPr>
              <w:jc w:val="center"/>
            </w:pPr>
          </w:p>
        </w:tc>
      </w:tr>
      <w:tr w:rsidR="00B44A70" w14:paraId="654805A5" w14:textId="77777777" w:rsidTr="000E775A">
        <w:tc>
          <w:tcPr>
            <w:tcW w:w="2695" w:type="dxa"/>
            <w:shd w:val="clear" w:color="auto" w:fill="auto"/>
            <w:vAlign w:val="center"/>
          </w:tcPr>
          <w:p w14:paraId="3EBAA220" w14:textId="77777777" w:rsidR="00B44A70" w:rsidRDefault="00B44A70" w:rsidP="00EA6EB5">
            <w:pPr>
              <w:jc w:val="center"/>
            </w:pPr>
            <w:r>
              <w:t>CH</w:t>
            </w:r>
            <w:r w:rsidRPr="00433AFA">
              <w:rPr>
                <w:vertAlign w:val="subscript"/>
              </w:rPr>
              <w:t>4</w:t>
            </w:r>
          </w:p>
        </w:tc>
        <w:tc>
          <w:tcPr>
            <w:tcW w:w="1890" w:type="dxa"/>
            <w:shd w:val="clear" w:color="auto" w:fill="auto"/>
            <w:vAlign w:val="center"/>
          </w:tcPr>
          <w:p w14:paraId="18EA7653" w14:textId="52905452" w:rsidR="00B44A70" w:rsidRDefault="00D34962" w:rsidP="00EA6EB5">
            <w:pPr>
              <w:jc w:val="center"/>
            </w:pPr>
            <w:r>
              <w:t>0.</w:t>
            </w:r>
            <w:r w:rsidR="00BB1318">
              <w:t>541</w:t>
            </w:r>
          </w:p>
        </w:tc>
        <w:tc>
          <w:tcPr>
            <w:tcW w:w="2520" w:type="dxa"/>
            <w:shd w:val="clear" w:color="auto" w:fill="auto"/>
            <w:vAlign w:val="center"/>
          </w:tcPr>
          <w:p w14:paraId="75CA19AD" w14:textId="5A2DB267" w:rsidR="00B44A70" w:rsidRDefault="00BB1318" w:rsidP="00EA6EB5">
            <w:pPr>
              <w:jc w:val="center"/>
            </w:pPr>
            <w:r>
              <w:t>18.38</w:t>
            </w:r>
          </w:p>
        </w:tc>
      </w:tr>
      <w:tr w:rsidR="00B44A70" w14:paraId="0A85E84E" w14:textId="77777777" w:rsidTr="000E775A">
        <w:tc>
          <w:tcPr>
            <w:tcW w:w="2695" w:type="dxa"/>
            <w:shd w:val="clear" w:color="auto" w:fill="FDF3D0" w:themeFill="accent3" w:themeFillTint="33"/>
            <w:vAlign w:val="center"/>
          </w:tcPr>
          <w:p w14:paraId="170D7844" w14:textId="77777777" w:rsidR="00B44A70" w:rsidRDefault="00B44A70" w:rsidP="00EA6EB5">
            <w:pPr>
              <w:jc w:val="center"/>
            </w:pPr>
            <w:r>
              <w:t>Total</w:t>
            </w:r>
          </w:p>
        </w:tc>
        <w:tc>
          <w:tcPr>
            <w:tcW w:w="1890" w:type="dxa"/>
            <w:shd w:val="clear" w:color="auto" w:fill="FDF3D0" w:themeFill="accent3" w:themeFillTint="33"/>
            <w:vAlign w:val="center"/>
          </w:tcPr>
          <w:p w14:paraId="7ACB7CB3" w14:textId="77777777" w:rsidR="00B44A70" w:rsidRDefault="00B44A70" w:rsidP="00EA6EB5">
            <w:pPr>
              <w:jc w:val="center"/>
            </w:pPr>
          </w:p>
        </w:tc>
        <w:tc>
          <w:tcPr>
            <w:tcW w:w="2520" w:type="dxa"/>
            <w:shd w:val="clear" w:color="auto" w:fill="FDF3D0" w:themeFill="accent3" w:themeFillTint="33"/>
            <w:vAlign w:val="center"/>
          </w:tcPr>
          <w:p w14:paraId="6B7BE17A" w14:textId="70C74714" w:rsidR="00B44A70" w:rsidRDefault="00D34962" w:rsidP="00EA6EB5">
            <w:pPr>
              <w:jc w:val="center"/>
            </w:pPr>
            <w:r>
              <w:t>1</w:t>
            </w:r>
            <w:r w:rsidR="00BB1318">
              <w:t>36</w:t>
            </w:r>
          </w:p>
        </w:tc>
      </w:tr>
    </w:tbl>
    <w:p w14:paraId="375CBD1D" w14:textId="3D57B640" w:rsidR="00433AFA" w:rsidRDefault="00433AFA" w:rsidP="00433AFA"/>
    <w:p w14:paraId="68F783D9" w14:textId="3D3C6FDC" w:rsidR="00D4137C" w:rsidRDefault="00D4137C" w:rsidP="00D4137C">
      <w:pPr>
        <w:pStyle w:val="Heading2"/>
      </w:pPr>
      <w:bookmarkStart w:id="9" w:name="_Toc43052738"/>
      <w:r>
        <w:lastRenderedPageBreak/>
        <w:t>Application to regional natural gas and coal power plants</w:t>
      </w:r>
      <w:bookmarkEnd w:id="9"/>
    </w:p>
    <w:p w14:paraId="529C0D62" w14:textId="0CF0D996" w:rsidR="00D4137C" w:rsidRDefault="00D4137C" w:rsidP="00D4137C">
      <w:r>
        <w:t xml:space="preserve">The full emission rates from Tables </w:t>
      </w:r>
      <w:r w:rsidR="000904ED">
        <w:t>7</w:t>
      </w:r>
      <w:r>
        <w:t xml:space="preserve"> and </w:t>
      </w:r>
      <w:r w:rsidR="000904ED">
        <w:t>9</w:t>
      </w:r>
      <w:r>
        <w:t xml:space="preserve"> were applied to historic power plant generation for the year 2016.  Data for individual power plants – including generation (MWh) and plant heat rates (Btu/kWh) for the year 2016 was pulled from the EPA Emissions &amp; Generation Resource Integrated Database (eGRID) and analyzed.  Table </w:t>
      </w:r>
      <w:r w:rsidR="000904ED">
        <w:t>10</w:t>
      </w:r>
      <w:r>
        <w:t xml:space="preserve"> shows the resulting full emission rate on a Lbs. of CO</w:t>
      </w:r>
      <w:r w:rsidRPr="00D4137C">
        <w:rPr>
          <w:vertAlign w:val="subscript"/>
        </w:rPr>
        <w:t>2</w:t>
      </w:r>
      <w:r>
        <w:t>e per MWh basis for weighted regional power plant averages.</w:t>
      </w:r>
    </w:p>
    <w:p w14:paraId="7CC8350F" w14:textId="3D9C82E1" w:rsidR="00D93AEA" w:rsidRDefault="00D93AEA" w:rsidP="00D4137C">
      <w:r w:rsidRPr="00A46078">
        <w:rPr>
          <w:b/>
          <w:bCs/>
        </w:rPr>
        <w:t xml:space="preserve">Table </w:t>
      </w:r>
      <w:r w:rsidR="000904ED">
        <w:rPr>
          <w:b/>
          <w:bCs/>
        </w:rPr>
        <w:t>10</w:t>
      </w:r>
      <w:r w:rsidRPr="00A46078">
        <w:rPr>
          <w:b/>
          <w:bCs/>
        </w:rPr>
        <w:t xml:space="preserve">: </w:t>
      </w:r>
      <w:r w:rsidR="004B6E77">
        <w:rPr>
          <w:b/>
          <w:bCs/>
        </w:rPr>
        <w:t>Generation emission rates for regional power plants</w:t>
      </w:r>
    </w:p>
    <w:tbl>
      <w:tblPr>
        <w:tblStyle w:val="TableGrid"/>
        <w:tblW w:w="0" w:type="auto"/>
        <w:tblLook w:val="04A0" w:firstRow="1" w:lastRow="0" w:firstColumn="1" w:lastColumn="0" w:noHBand="0" w:noVBand="1"/>
      </w:tblPr>
      <w:tblGrid>
        <w:gridCol w:w="3116"/>
        <w:gridCol w:w="2279"/>
        <w:gridCol w:w="2070"/>
      </w:tblGrid>
      <w:tr w:rsidR="00D93AEA" w14:paraId="0DCE185C" w14:textId="77777777" w:rsidTr="000904ED">
        <w:tc>
          <w:tcPr>
            <w:tcW w:w="3116" w:type="dxa"/>
            <w:shd w:val="clear" w:color="auto" w:fill="D3BF7B" w:themeFill="text2" w:themeFillShade="BF"/>
          </w:tcPr>
          <w:p w14:paraId="1B1B9919" w14:textId="1265C353" w:rsidR="00D93AEA" w:rsidRPr="000904ED" w:rsidRDefault="004B6E77" w:rsidP="00D4137C">
            <w:pPr>
              <w:rPr>
                <w:b/>
                <w:bCs/>
              </w:rPr>
            </w:pPr>
            <w:r w:rsidRPr="000904ED">
              <w:rPr>
                <w:b/>
                <w:bCs/>
              </w:rPr>
              <w:t>Year 2016</w:t>
            </w:r>
          </w:p>
        </w:tc>
        <w:tc>
          <w:tcPr>
            <w:tcW w:w="2279" w:type="dxa"/>
            <w:shd w:val="clear" w:color="auto" w:fill="D3BF7B" w:themeFill="text2" w:themeFillShade="BF"/>
          </w:tcPr>
          <w:p w14:paraId="0CCD27A1" w14:textId="044552D2" w:rsidR="00D93AEA" w:rsidRPr="000904ED" w:rsidRDefault="004B6E77" w:rsidP="00D4137C">
            <w:pPr>
              <w:rPr>
                <w:b/>
                <w:bCs/>
              </w:rPr>
            </w:pPr>
            <w:r w:rsidRPr="000904ED">
              <w:rPr>
                <w:b/>
                <w:bCs/>
              </w:rPr>
              <w:t>Regional Natural Gas Power Plants</w:t>
            </w:r>
          </w:p>
        </w:tc>
        <w:tc>
          <w:tcPr>
            <w:tcW w:w="2070" w:type="dxa"/>
            <w:shd w:val="clear" w:color="auto" w:fill="D3BF7B" w:themeFill="text2" w:themeFillShade="BF"/>
          </w:tcPr>
          <w:p w14:paraId="35761345" w14:textId="0F67A49C" w:rsidR="00D93AEA" w:rsidRPr="000904ED" w:rsidRDefault="004B6E77" w:rsidP="00D4137C">
            <w:pPr>
              <w:rPr>
                <w:b/>
                <w:bCs/>
              </w:rPr>
            </w:pPr>
            <w:r w:rsidRPr="000904ED">
              <w:rPr>
                <w:b/>
                <w:bCs/>
              </w:rPr>
              <w:t>Regional Coal Power Plants</w:t>
            </w:r>
          </w:p>
        </w:tc>
      </w:tr>
      <w:tr w:rsidR="00D93AEA" w14:paraId="29F93752" w14:textId="77777777" w:rsidTr="00D6725E">
        <w:tc>
          <w:tcPr>
            <w:tcW w:w="3116" w:type="dxa"/>
          </w:tcPr>
          <w:p w14:paraId="3689302E" w14:textId="2ED7F4CC" w:rsidR="00D93AEA" w:rsidRDefault="004B6E77" w:rsidP="00D4137C">
            <w:r w:rsidRPr="00C221DA">
              <w:rPr>
                <w:i/>
                <w:iCs/>
              </w:rPr>
              <w:t>L</w:t>
            </w:r>
            <w:r w:rsidRPr="00C221DA">
              <w:rPr>
                <w:i/>
                <w:iCs/>
                <w:vertAlign w:val="subscript"/>
              </w:rPr>
              <w:t>d</w:t>
            </w:r>
            <w:r>
              <w:t xml:space="preserve"> %</w:t>
            </w:r>
          </w:p>
        </w:tc>
        <w:tc>
          <w:tcPr>
            <w:tcW w:w="2279" w:type="dxa"/>
          </w:tcPr>
          <w:p w14:paraId="480A1560" w14:textId="11E9B6E0" w:rsidR="00D93AEA" w:rsidRDefault="00D6725E" w:rsidP="00D4137C">
            <w:r>
              <w:t>1.37</w:t>
            </w:r>
          </w:p>
        </w:tc>
        <w:tc>
          <w:tcPr>
            <w:tcW w:w="2070" w:type="dxa"/>
          </w:tcPr>
          <w:p w14:paraId="45E2D459" w14:textId="77777777" w:rsidR="00D93AEA" w:rsidRDefault="00D93AEA" w:rsidP="00D4137C"/>
        </w:tc>
      </w:tr>
      <w:tr w:rsidR="00D93AEA" w14:paraId="7AA8F01D" w14:textId="77777777" w:rsidTr="00D6725E">
        <w:tc>
          <w:tcPr>
            <w:tcW w:w="3116" w:type="dxa"/>
          </w:tcPr>
          <w:p w14:paraId="58CC0839" w14:textId="6F60E384" w:rsidR="00D93AEA" w:rsidRDefault="00D6725E" w:rsidP="00D4137C">
            <w:r>
              <w:t>Generation weighted average heat rate</w:t>
            </w:r>
          </w:p>
        </w:tc>
        <w:tc>
          <w:tcPr>
            <w:tcW w:w="2279" w:type="dxa"/>
          </w:tcPr>
          <w:p w14:paraId="26645ED5" w14:textId="77777777" w:rsidR="00D93AEA" w:rsidRDefault="00D93AEA" w:rsidP="00D4137C"/>
        </w:tc>
        <w:tc>
          <w:tcPr>
            <w:tcW w:w="2070" w:type="dxa"/>
          </w:tcPr>
          <w:p w14:paraId="7396C8F9" w14:textId="77777777" w:rsidR="00D93AEA" w:rsidRDefault="00D93AEA" w:rsidP="00D4137C"/>
        </w:tc>
      </w:tr>
      <w:tr w:rsidR="00D93AEA" w14:paraId="7FE621B2" w14:textId="77777777" w:rsidTr="00D6725E">
        <w:tc>
          <w:tcPr>
            <w:tcW w:w="3116" w:type="dxa"/>
          </w:tcPr>
          <w:p w14:paraId="3E108BE3" w14:textId="4F13B426" w:rsidR="00D93AEA" w:rsidRDefault="00D6725E" w:rsidP="00D4137C">
            <w:r>
              <w:t>Btu/kWh</w:t>
            </w:r>
          </w:p>
        </w:tc>
        <w:tc>
          <w:tcPr>
            <w:tcW w:w="2279" w:type="dxa"/>
          </w:tcPr>
          <w:p w14:paraId="1BD346FA" w14:textId="6315FEE7" w:rsidR="00D93AEA" w:rsidRDefault="00D6725E" w:rsidP="00D4137C">
            <w:r>
              <w:t>7,716</w:t>
            </w:r>
          </w:p>
        </w:tc>
        <w:tc>
          <w:tcPr>
            <w:tcW w:w="2070" w:type="dxa"/>
          </w:tcPr>
          <w:p w14:paraId="1356B18D" w14:textId="50A7D2FE" w:rsidR="00D93AEA" w:rsidRDefault="00D6725E" w:rsidP="00D4137C">
            <w:r>
              <w:t>11,047</w:t>
            </w:r>
          </w:p>
        </w:tc>
      </w:tr>
      <w:tr w:rsidR="00D93AEA" w14:paraId="5731AA9D" w14:textId="77777777" w:rsidTr="00D6725E">
        <w:tc>
          <w:tcPr>
            <w:tcW w:w="3116" w:type="dxa"/>
          </w:tcPr>
          <w:p w14:paraId="3AA7A1B3" w14:textId="3D8E2D11" w:rsidR="00D93AEA" w:rsidRDefault="00D6725E" w:rsidP="00D4137C">
            <w:r>
              <w:t>Emission rate – combustion + upstream methane</w:t>
            </w:r>
          </w:p>
        </w:tc>
        <w:tc>
          <w:tcPr>
            <w:tcW w:w="2279" w:type="dxa"/>
          </w:tcPr>
          <w:p w14:paraId="4BF32991" w14:textId="77777777" w:rsidR="00D93AEA" w:rsidRDefault="00D93AEA" w:rsidP="00D4137C"/>
        </w:tc>
        <w:tc>
          <w:tcPr>
            <w:tcW w:w="2070" w:type="dxa"/>
          </w:tcPr>
          <w:p w14:paraId="4A8E7BD6" w14:textId="77777777" w:rsidR="00D93AEA" w:rsidRDefault="00D93AEA" w:rsidP="00D4137C"/>
        </w:tc>
      </w:tr>
      <w:tr w:rsidR="00D93AEA" w14:paraId="64997E4E" w14:textId="77777777" w:rsidTr="00D6725E">
        <w:tc>
          <w:tcPr>
            <w:tcW w:w="3116" w:type="dxa"/>
            <w:shd w:val="clear" w:color="auto" w:fill="FDF3D0" w:themeFill="accent3" w:themeFillTint="33"/>
          </w:tcPr>
          <w:p w14:paraId="276B3C20" w14:textId="1AB9F64E" w:rsidR="00D93AEA" w:rsidRDefault="00D6725E" w:rsidP="00D4137C">
            <w:r>
              <w:t>Lbs. CO</w:t>
            </w:r>
            <w:r w:rsidRPr="00D6725E">
              <w:rPr>
                <w:vertAlign w:val="subscript"/>
              </w:rPr>
              <w:t>2</w:t>
            </w:r>
            <w:r>
              <w:t>e/MWh</w:t>
            </w:r>
          </w:p>
        </w:tc>
        <w:tc>
          <w:tcPr>
            <w:tcW w:w="2279" w:type="dxa"/>
            <w:shd w:val="clear" w:color="auto" w:fill="FDF3D0" w:themeFill="accent3" w:themeFillTint="33"/>
          </w:tcPr>
          <w:p w14:paraId="57EE7176" w14:textId="6C5984C5" w:rsidR="00D93AEA" w:rsidRDefault="00D6725E" w:rsidP="00D4137C">
            <w:r>
              <w:t>1,049</w:t>
            </w:r>
          </w:p>
        </w:tc>
        <w:tc>
          <w:tcPr>
            <w:tcW w:w="2070" w:type="dxa"/>
            <w:shd w:val="clear" w:color="auto" w:fill="FDF3D0" w:themeFill="accent3" w:themeFillTint="33"/>
          </w:tcPr>
          <w:p w14:paraId="7183B3E6" w14:textId="753EFCDA" w:rsidR="00D93AEA" w:rsidRDefault="00D6725E" w:rsidP="00D4137C">
            <w:r>
              <w:t>2,423</w:t>
            </w:r>
          </w:p>
        </w:tc>
      </w:tr>
    </w:tbl>
    <w:p w14:paraId="13556F84" w14:textId="77777777" w:rsidR="00D4137C" w:rsidRPr="00D4137C" w:rsidRDefault="00D4137C" w:rsidP="00D4137C"/>
    <w:p w14:paraId="00831883" w14:textId="270F6710" w:rsidR="00BA1B95" w:rsidRDefault="003B1272" w:rsidP="003B1272">
      <w:pPr>
        <w:pStyle w:val="Heading2"/>
      </w:pPr>
      <w:bookmarkStart w:id="10" w:name="_Toc43052739"/>
      <w:r>
        <w:t>Results</w:t>
      </w:r>
      <w:bookmarkEnd w:id="10"/>
    </w:p>
    <w:p w14:paraId="2CD740F1" w14:textId="0E424D5D" w:rsidR="003A0E43" w:rsidRDefault="003A0E43" w:rsidP="003A0E43">
      <w:r>
        <w:t xml:space="preserve">Figure </w:t>
      </w:r>
      <w:r w:rsidR="000904ED">
        <w:t>2</w:t>
      </w:r>
      <w:r>
        <w:t xml:space="preserve"> </w:t>
      </w:r>
      <w:r w:rsidR="00DE0970">
        <w:t>s</w:t>
      </w:r>
      <w:r>
        <w:t>how</w:t>
      </w:r>
      <w:r w:rsidR="00DE0970">
        <w:t>s</w:t>
      </w:r>
      <w:r>
        <w:t xml:space="preserve"> the estimated leakage rates by study.  The following </w:t>
      </w:r>
      <w:r w:rsidR="00DE0970">
        <w:t xml:space="preserve">two </w:t>
      </w:r>
      <w:r>
        <w:t>figures show the resulting fuel emission rates.</w:t>
      </w:r>
    </w:p>
    <w:p w14:paraId="0E41DD10" w14:textId="77777777" w:rsidR="000C1624" w:rsidRDefault="000C1624" w:rsidP="003A0E43">
      <w:pPr>
        <w:rPr>
          <w:b/>
          <w:bCs/>
        </w:rPr>
      </w:pPr>
    </w:p>
    <w:p w14:paraId="0A7745C9" w14:textId="54D811DF" w:rsidR="00DE0970" w:rsidRPr="000904ED" w:rsidRDefault="003A0E43" w:rsidP="003A0E43">
      <w:pPr>
        <w:rPr>
          <w:b/>
          <w:bCs/>
          <w:i/>
          <w:iCs/>
        </w:rPr>
      </w:pPr>
      <w:r w:rsidRPr="00805A0D">
        <w:rPr>
          <w:b/>
          <w:bCs/>
        </w:rPr>
        <w:t xml:space="preserve">Figure </w:t>
      </w:r>
      <w:r w:rsidR="000904ED">
        <w:rPr>
          <w:b/>
          <w:bCs/>
        </w:rPr>
        <w:t xml:space="preserve">2: </w:t>
      </w:r>
      <w:r w:rsidRPr="00805A0D">
        <w:rPr>
          <w:b/>
          <w:bCs/>
        </w:rPr>
        <w:t xml:space="preserve">Upstream </w:t>
      </w:r>
      <w:r w:rsidR="000904ED">
        <w:rPr>
          <w:b/>
          <w:bCs/>
        </w:rPr>
        <w:t>m</w:t>
      </w:r>
      <w:r w:rsidRPr="00805A0D">
        <w:rPr>
          <w:b/>
          <w:bCs/>
        </w:rPr>
        <w:t xml:space="preserve">ethane </w:t>
      </w:r>
      <w:r w:rsidR="000904ED">
        <w:rPr>
          <w:b/>
          <w:bCs/>
        </w:rPr>
        <w:t>release</w:t>
      </w:r>
      <w:r>
        <w:rPr>
          <w:b/>
          <w:bCs/>
        </w:rPr>
        <w:t xml:space="preserve"> </w:t>
      </w:r>
      <w:r w:rsidR="000904ED">
        <w:rPr>
          <w:b/>
          <w:bCs/>
        </w:rPr>
        <w:t>r</w:t>
      </w:r>
      <w:r>
        <w:rPr>
          <w:b/>
          <w:bCs/>
        </w:rPr>
        <w:t xml:space="preserve">ate - % of delivered methane that is released </w:t>
      </w:r>
      <w:r w:rsidR="00F02EB1">
        <w:rPr>
          <w:b/>
          <w:bCs/>
        </w:rPr>
        <w:t xml:space="preserve">                 </w:t>
      </w:r>
      <w:r>
        <w:rPr>
          <w:b/>
          <w:bCs/>
        </w:rPr>
        <w:t>upstream</w:t>
      </w:r>
      <w:r w:rsidR="000904ED">
        <w:rPr>
          <w:b/>
          <w:bCs/>
        </w:rPr>
        <w:t xml:space="preserve"> </w:t>
      </w:r>
      <w:r w:rsidR="000904ED" w:rsidRPr="000904ED">
        <w:rPr>
          <w:b/>
          <w:bCs/>
          <w:i/>
          <w:iCs/>
        </w:rPr>
        <w:t>L</w:t>
      </w:r>
      <w:r w:rsidR="000904ED" w:rsidRPr="000904ED">
        <w:rPr>
          <w:b/>
          <w:bCs/>
          <w:i/>
          <w:iCs/>
          <w:vertAlign w:val="subscript"/>
        </w:rPr>
        <w:t>d</w:t>
      </w:r>
    </w:p>
    <w:p w14:paraId="2ED32454" w14:textId="116C34A1" w:rsidR="000C1624" w:rsidRDefault="00F02EB1" w:rsidP="003B1272">
      <w:pPr>
        <w:rPr>
          <w:b/>
          <w:bCs/>
        </w:rPr>
      </w:pPr>
      <w:r>
        <w:rPr>
          <w:b/>
          <w:bCs/>
          <w:noProof/>
        </w:rPr>
        <w:drawing>
          <wp:inline distT="0" distB="0" distL="0" distR="0" wp14:anchorId="091FAD80" wp14:editId="50C490AE">
            <wp:extent cx="5944235" cy="3322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3322320"/>
                    </a:xfrm>
                    <a:prstGeom prst="rect">
                      <a:avLst/>
                    </a:prstGeom>
                    <a:noFill/>
                  </pic:spPr>
                </pic:pic>
              </a:graphicData>
            </a:graphic>
          </wp:inline>
        </w:drawing>
      </w:r>
    </w:p>
    <w:p w14:paraId="4EA2A062" w14:textId="1033C8DD" w:rsidR="00805A0D" w:rsidRDefault="00805A0D" w:rsidP="003B1272">
      <w:pPr>
        <w:rPr>
          <w:b/>
          <w:bCs/>
        </w:rPr>
      </w:pPr>
      <w:r w:rsidRPr="00805A0D">
        <w:rPr>
          <w:b/>
          <w:bCs/>
        </w:rPr>
        <w:lastRenderedPageBreak/>
        <w:t xml:space="preserve">Figure </w:t>
      </w:r>
      <w:r w:rsidR="001542C9">
        <w:rPr>
          <w:b/>
          <w:bCs/>
        </w:rPr>
        <w:t>3:</w:t>
      </w:r>
      <w:r w:rsidRPr="00805A0D">
        <w:rPr>
          <w:b/>
          <w:bCs/>
        </w:rPr>
        <w:t xml:space="preserve"> Fuel </w:t>
      </w:r>
      <w:r w:rsidR="001542C9">
        <w:rPr>
          <w:b/>
          <w:bCs/>
        </w:rPr>
        <w:t>e</w:t>
      </w:r>
      <w:r w:rsidRPr="00805A0D">
        <w:rPr>
          <w:b/>
          <w:bCs/>
        </w:rPr>
        <w:t xml:space="preserve">mission </w:t>
      </w:r>
      <w:r w:rsidR="001542C9">
        <w:rPr>
          <w:b/>
          <w:bCs/>
        </w:rPr>
        <w:t>r</w:t>
      </w:r>
      <w:r w:rsidRPr="00805A0D">
        <w:rPr>
          <w:b/>
          <w:bCs/>
        </w:rPr>
        <w:t xml:space="preserve">ate per unit of fuel delivered in </w:t>
      </w:r>
      <w:r w:rsidR="001542C9">
        <w:rPr>
          <w:b/>
          <w:bCs/>
        </w:rPr>
        <w:t>c</w:t>
      </w:r>
      <w:r w:rsidRPr="00805A0D">
        <w:rPr>
          <w:b/>
          <w:bCs/>
        </w:rPr>
        <w:t xml:space="preserve">arbon </w:t>
      </w:r>
      <w:r w:rsidR="001542C9">
        <w:rPr>
          <w:b/>
          <w:bCs/>
        </w:rPr>
        <w:t>d</w:t>
      </w:r>
      <w:r w:rsidRPr="00805A0D">
        <w:rPr>
          <w:b/>
          <w:bCs/>
        </w:rPr>
        <w:t>ioxide Equivalents</w:t>
      </w:r>
      <w:r w:rsidR="00B5206F">
        <w:rPr>
          <w:b/>
          <w:bCs/>
        </w:rPr>
        <w:t xml:space="preserve"> for </w:t>
      </w:r>
      <w:r w:rsidR="001542C9">
        <w:rPr>
          <w:b/>
          <w:bCs/>
        </w:rPr>
        <w:t>c</w:t>
      </w:r>
      <w:r w:rsidR="00B5206F">
        <w:rPr>
          <w:b/>
          <w:bCs/>
        </w:rPr>
        <w:t xml:space="preserve">oal and </w:t>
      </w:r>
      <w:r w:rsidR="001542C9">
        <w:rPr>
          <w:b/>
          <w:bCs/>
        </w:rPr>
        <w:t>n</w:t>
      </w:r>
      <w:r w:rsidR="00B5206F">
        <w:rPr>
          <w:b/>
          <w:bCs/>
        </w:rPr>
        <w:t xml:space="preserve">atural </w:t>
      </w:r>
      <w:r w:rsidR="001542C9">
        <w:rPr>
          <w:b/>
          <w:bCs/>
        </w:rPr>
        <w:t>g</w:t>
      </w:r>
      <w:r w:rsidR="00B5206F">
        <w:rPr>
          <w:b/>
          <w:bCs/>
        </w:rPr>
        <w:t>as</w:t>
      </w:r>
    </w:p>
    <w:p w14:paraId="12017E3C" w14:textId="5151407D" w:rsidR="00F02EB1" w:rsidRDefault="00F02EB1" w:rsidP="003B1272">
      <w:pPr>
        <w:rPr>
          <w:b/>
          <w:bCs/>
        </w:rPr>
      </w:pPr>
      <w:r>
        <w:rPr>
          <w:b/>
          <w:bCs/>
          <w:noProof/>
        </w:rPr>
        <w:drawing>
          <wp:inline distT="0" distB="0" distL="0" distR="0" wp14:anchorId="05CD33D4" wp14:editId="6DEDA7F4">
            <wp:extent cx="6188075" cy="3895725"/>
            <wp:effectExtent l="0" t="0" r="317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075" cy="3895725"/>
                    </a:xfrm>
                    <a:prstGeom prst="rect">
                      <a:avLst/>
                    </a:prstGeom>
                    <a:noFill/>
                  </pic:spPr>
                </pic:pic>
              </a:graphicData>
            </a:graphic>
          </wp:inline>
        </w:drawing>
      </w:r>
    </w:p>
    <w:p w14:paraId="6B451505" w14:textId="61B8078A" w:rsidR="00F02EB1" w:rsidRPr="00805A0D" w:rsidRDefault="00F02EB1" w:rsidP="003B1272">
      <w:pPr>
        <w:rPr>
          <w:b/>
          <w:bCs/>
        </w:rPr>
      </w:pPr>
    </w:p>
    <w:p w14:paraId="389FE74D" w14:textId="3D99D999" w:rsidR="003B1272" w:rsidRPr="003B1272" w:rsidRDefault="00805A0D" w:rsidP="003B1272">
      <w:r>
        <w:t xml:space="preserve"> </w:t>
      </w:r>
    </w:p>
    <w:sectPr w:rsidR="003B1272" w:rsidRPr="003B12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4CA54" w14:textId="77777777" w:rsidR="00F21B1B" w:rsidRDefault="00F21B1B" w:rsidP="0044306A">
      <w:pPr>
        <w:spacing w:after="0" w:line="240" w:lineRule="auto"/>
      </w:pPr>
      <w:r>
        <w:separator/>
      </w:r>
    </w:p>
  </w:endnote>
  <w:endnote w:type="continuationSeparator" w:id="0">
    <w:p w14:paraId="1DF07060" w14:textId="77777777" w:rsidR="00F21B1B" w:rsidRDefault="00F21B1B" w:rsidP="0044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dvOT863180fb">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6BAC3" w14:textId="77777777" w:rsidR="00F21B1B" w:rsidRDefault="00F21B1B" w:rsidP="0044306A">
      <w:pPr>
        <w:spacing w:after="0" w:line="240" w:lineRule="auto"/>
      </w:pPr>
      <w:r>
        <w:separator/>
      </w:r>
    </w:p>
  </w:footnote>
  <w:footnote w:type="continuationSeparator" w:id="0">
    <w:p w14:paraId="6D775788" w14:textId="77777777" w:rsidR="00F21B1B" w:rsidRDefault="00F21B1B" w:rsidP="0044306A">
      <w:pPr>
        <w:spacing w:after="0" w:line="240" w:lineRule="auto"/>
      </w:pPr>
      <w:r>
        <w:continuationSeparator/>
      </w:r>
    </w:p>
  </w:footnote>
  <w:footnote w:id="1">
    <w:p w14:paraId="6922E282" w14:textId="6CAE54E5" w:rsidR="00F21B1B" w:rsidRDefault="00F21B1B">
      <w:pPr>
        <w:pStyle w:val="FootnoteText"/>
      </w:pPr>
      <w:r>
        <w:rPr>
          <w:rStyle w:val="FootnoteReference"/>
        </w:rPr>
        <w:footnoteRef/>
      </w:r>
      <w:r>
        <w:t xml:space="preserve"> </w:t>
      </w:r>
      <w:hyperlink r:id="rId1" w:history="1">
        <w:r>
          <w:rPr>
            <w:rStyle w:val="Hyperlink"/>
            <w:rFonts w:eastAsiaTheme="majorEastAsia"/>
          </w:rPr>
          <w:t>https://www.esrl.noaa.gov/gmd/ccgg/trends_ch4/</w:t>
        </w:r>
      </w:hyperlink>
    </w:p>
  </w:footnote>
  <w:footnote w:id="2">
    <w:p w14:paraId="4495B494" w14:textId="5F11E26D" w:rsidR="00F21B1B" w:rsidRDefault="00F21B1B">
      <w:pPr>
        <w:pStyle w:val="FootnoteText"/>
      </w:pPr>
      <w:r>
        <w:rPr>
          <w:rStyle w:val="FootnoteReference"/>
        </w:rPr>
        <w:footnoteRef/>
      </w:r>
      <w:r>
        <w:t xml:space="preserve"> </w:t>
      </w:r>
      <w:hyperlink r:id="rId2" w:history="1">
        <w:r>
          <w:rPr>
            <w:rStyle w:val="Hyperlink"/>
            <w:rFonts w:eastAsiaTheme="majorEastAsia"/>
          </w:rPr>
          <w:t>https://www.edf.org/sites/default/files/EDF-Methane-Science-Brochure.pdf</w:t>
        </w:r>
      </w:hyperlink>
    </w:p>
  </w:footnote>
  <w:footnote w:id="3">
    <w:p w14:paraId="2579C498" w14:textId="2EFABD9B" w:rsidR="00F21B1B" w:rsidRDefault="00F21B1B">
      <w:pPr>
        <w:pStyle w:val="FootnoteText"/>
      </w:pPr>
      <w:r>
        <w:rPr>
          <w:rStyle w:val="FootnoteReference"/>
        </w:rPr>
        <w:footnoteRef/>
      </w:r>
      <w:r>
        <w:t xml:space="preserve"> </w:t>
      </w:r>
      <w:hyperlink r:id="rId3" w:history="1">
        <w:r>
          <w:rPr>
            <w:rStyle w:val="Hyperlink"/>
            <w:rFonts w:eastAsiaTheme="majorEastAsia"/>
          </w:rPr>
          <w:t>https://www.epa.gov/sites/production/files/2018-02/documents/egrid2016_technicalsupportdocument_0.pdf</w:t>
        </w:r>
      </w:hyperlink>
    </w:p>
  </w:footnote>
  <w:footnote w:id="4">
    <w:p w14:paraId="64743294" w14:textId="11C9FECE" w:rsidR="00F21B1B" w:rsidRDefault="00F21B1B">
      <w:pPr>
        <w:pStyle w:val="FootnoteText"/>
      </w:pPr>
      <w:r>
        <w:rPr>
          <w:rStyle w:val="FootnoteReference"/>
        </w:rPr>
        <w:footnoteRef/>
      </w:r>
      <w:r>
        <w:t xml:space="preserve"> </w:t>
      </w:r>
      <w:hyperlink r:id="rId4" w:history="1">
        <w:r>
          <w:rPr>
            <w:rStyle w:val="Hyperlink"/>
            <w:rFonts w:eastAsiaTheme="majorEastAsia"/>
          </w:rPr>
          <w:t>https://www.c2es.org/content/ipcc-fifth-assessment-report/</w:t>
        </w:r>
      </w:hyperlink>
    </w:p>
  </w:footnote>
  <w:footnote w:id="5">
    <w:p w14:paraId="4818269E" w14:textId="5E94BAB7" w:rsidR="00F21B1B" w:rsidRDefault="00F21B1B">
      <w:pPr>
        <w:pStyle w:val="FootnoteText"/>
      </w:pPr>
      <w:r>
        <w:rPr>
          <w:rStyle w:val="FootnoteReference"/>
        </w:rPr>
        <w:footnoteRef/>
      </w:r>
      <w:r>
        <w:t xml:space="preserve"> </w:t>
      </w:r>
      <w:hyperlink r:id="rId5" w:history="1">
        <w:r>
          <w:rPr>
            <w:rStyle w:val="Hyperlink"/>
            <w:rFonts w:eastAsiaTheme="majorEastAsia"/>
          </w:rPr>
          <w:t>https://www.iea.org/articles/global-methane-emissions-from-oil-and-gas</w:t>
        </w:r>
      </w:hyperlink>
    </w:p>
  </w:footnote>
  <w:footnote w:id="6">
    <w:p w14:paraId="3AAA4EF1" w14:textId="1A47DB3D" w:rsidR="00F21B1B" w:rsidRDefault="00F21B1B">
      <w:pPr>
        <w:pStyle w:val="FootnoteText"/>
      </w:pPr>
      <w:r>
        <w:rPr>
          <w:rStyle w:val="FootnoteReference"/>
        </w:rPr>
        <w:footnoteRef/>
      </w:r>
      <w:r>
        <w:t xml:space="preserve"> </w:t>
      </w:r>
      <w:r w:rsidRPr="005866A2">
        <w:t>https://www.epa.gov/ghgemissions/inventory-us-greenhouse-gas-emissions-and-sinks-1990-2017</w:t>
      </w:r>
    </w:p>
  </w:footnote>
  <w:footnote w:id="7">
    <w:p w14:paraId="27A2CFAA" w14:textId="4C865AE0" w:rsidR="00F21B1B" w:rsidRDefault="00F21B1B">
      <w:pPr>
        <w:pStyle w:val="FootnoteText"/>
      </w:pPr>
      <w:r>
        <w:rPr>
          <w:rStyle w:val="FootnoteReference"/>
        </w:rPr>
        <w:footnoteRef/>
      </w:r>
      <w:r>
        <w:t xml:space="preserve"> </w:t>
      </w:r>
      <w:hyperlink r:id="rId6" w:history="1">
        <w:r>
          <w:rPr>
            <w:rStyle w:val="Hyperlink"/>
            <w:rFonts w:eastAsiaTheme="majorEastAsia"/>
          </w:rPr>
          <w:t>https://kalamamfgfacilitysepa.com/</w:t>
        </w:r>
      </w:hyperlink>
    </w:p>
  </w:footnote>
  <w:footnote w:id="8">
    <w:p w14:paraId="751744E4" w14:textId="36180A72" w:rsidR="00F21B1B" w:rsidRDefault="00F21B1B">
      <w:pPr>
        <w:pStyle w:val="FootnoteText"/>
      </w:pPr>
      <w:r>
        <w:rPr>
          <w:rStyle w:val="FootnoteReference"/>
        </w:rPr>
        <w:footnoteRef/>
      </w:r>
      <w:r>
        <w:t xml:space="preserve"> </w:t>
      </w:r>
      <w:hyperlink r:id="rId7" w:history="1">
        <w:r>
          <w:rPr>
            <w:rStyle w:val="Hyperlink"/>
            <w:rFonts w:eastAsiaTheme="majorEastAsia"/>
          </w:rPr>
          <w:t>https://pscleanair.gov/460/Current-Permitting-Projects</w:t>
        </w:r>
      </w:hyperlink>
    </w:p>
  </w:footnote>
  <w:footnote w:id="9">
    <w:p w14:paraId="7116E8DF" w14:textId="055DB780" w:rsidR="00F21B1B" w:rsidRDefault="00F21B1B">
      <w:pPr>
        <w:pStyle w:val="FootnoteText"/>
      </w:pPr>
      <w:r>
        <w:rPr>
          <w:rStyle w:val="FootnoteReference"/>
        </w:rPr>
        <w:footnoteRef/>
      </w:r>
      <w:r>
        <w:t xml:space="preserve"> </w:t>
      </w:r>
      <w:hyperlink r:id="rId8" w:history="1">
        <w:r>
          <w:rPr>
            <w:rStyle w:val="Hyperlink"/>
            <w:rFonts w:eastAsiaTheme="majorEastAsia"/>
          </w:rPr>
          <w:t>https://www.ghgenius.ca/</w:t>
        </w:r>
      </w:hyperlink>
    </w:p>
  </w:footnote>
  <w:footnote w:id="10">
    <w:p w14:paraId="7BCFE2F4" w14:textId="77777777" w:rsidR="00F21B1B" w:rsidRPr="00AB1326" w:rsidRDefault="00F21B1B" w:rsidP="00337756">
      <w:pPr>
        <w:autoSpaceDE w:val="0"/>
        <w:autoSpaceDN w:val="0"/>
        <w:adjustRightInd w:val="0"/>
        <w:spacing w:after="0" w:line="240" w:lineRule="auto"/>
        <w:rPr>
          <w:rFonts w:ascii="Arial" w:hAnsi="Arial" w:cs="Arial"/>
          <w:sz w:val="20"/>
          <w:szCs w:val="20"/>
        </w:rPr>
      </w:pPr>
      <w:r>
        <w:rPr>
          <w:rStyle w:val="FootnoteReference"/>
        </w:rPr>
        <w:footnoteRef/>
      </w:r>
      <w:r>
        <w:t xml:space="preserve"> </w:t>
      </w:r>
      <w:r w:rsidRPr="00AB1326">
        <w:rPr>
          <w:rFonts w:ascii="Arial" w:hAnsi="Arial" w:cs="Arial"/>
          <w:sz w:val="20"/>
          <w:szCs w:val="20"/>
        </w:rPr>
        <w:t>Preindustrial 14CH4 indicates greater</w:t>
      </w:r>
    </w:p>
    <w:p w14:paraId="71429D21" w14:textId="77777777" w:rsidR="00F21B1B" w:rsidRPr="00AB1326" w:rsidRDefault="00F21B1B" w:rsidP="00337756">
      <w:pPr>
        <w:autoSpaceDE w:val="0"/>
        <w:autoSpaceDN w:val="0"/>
        <w:adjustRightInd w:val="0"/>
        <w:spacing w:after="0" w:line="240" w:lineRule="auto"/>
        <w:rPr>
          <w:rFonts w:ascii="Arial" w:hAnsi="Arial" w:cs="Arial"/>
          <w:sz w:val="20"/>
          <w:szCs w:val="20"/>
        </w:rPr>
      </w:pPr>
      <w:r w:rsidRPr="00AB1326">
        <w:rPr>
          <w:rFonts w:ascii="Arial" w:hAnsi="Arial" w:cs="Arial"/>
          <w:sz w:val="20"/>
          <w:szCs w:val="20"/>
        </w:rPr>
        <w:t>anthropogenic fossil CH4 emissions</w:t>
      </w:r>
    </w:p>
    <w:p w14:paraId="2392E9CF" w14:textId="77777777" w:rsidR="00F21B1B" w:rsidRDefault="00F21B1B" w:rsidP="00337756">
      <w:pPr>
        <w:pStyle w:val="FootnoteText"/>
      </w:pPr>
      <w:r w:rsidRPr="00AB1326">
        <w:t xml:space="preserve">Benjamin </w:t>
      </w:r>
      <w:proofErr w:type="spellStart"/>
      <w:r w:rsidRPr="00AB1326">
        <w:t>H</w:t>
      </w:r>
      <w:r>
        <w:t>miel</w:t>
      </w:r>
      <w:proofErr w:type="spellEnd"/>
      <w:r>
        <w:t>, et al.</w:t>
      </w:r>
    </w:p>
    <w:p w14:paraId="5323544B" w14:textId="0CC4FAA2" w:rsidR="00F21B1B" w:rsidRDefault="00F21B1B">
      <w:pPr>
        <w:pStyle w:val="FootnoteText"/>
      </w:pPr>
    </w:p>
  </w:footnote>
  <w:footnote w:id="11">
    <w:p w14:paraId="21B53665" w14:textId="23C1B4DA" w:rsidR="00F21B1B" w:rsidRDefault="00F21B1B">
      <w:pPr>
        <w:pStyle w:val="FootnoteText"/>
      </w:pPr>
      <w:r>
        <w:rPr>
          <w:rStyle w:val="FootnoteReference"/>
        </w:rPr>
        <w:footnoteRef/>
      </w:r>
      <w:r>
        <w:t xml:space="preserve"> </w:t>
      </w:r>
      <w:r w:rsidRPr="00257C3F">
        <w:t>http://www.eia.gov/dnav/ng/ng_cons_sum_dcu_nus_a.htm</w:t>
      </w:r>
    </w:p>
  </w:footnote>
  <w:footnote w:id="12">
    <w:p w14:paraId="1ABAC996" w14:textId="04C0410C" w:rsidR="00F21B1B" w:rsidRDefault="00F21B1B">
      <w:pPr>
        <w:pStyle w:val="FootnoteText"/>
      </w:pPr>
      <w:r>
        <w:rPr>
          <w:rStyle w:val="FootnoteReference"/>
        </w:rPr>
        <w:footnoteRef/>
      </w:r>
      <w:r>
        <w:t xml:space="preserve"> National Energy Technology Laboratory, Life Cycle of Coal Exports from the Power River Basin, DOE/NETL-2016/180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9427F"/>
    <w:multiLevelType w:val="hybridMultilevel"/>
    <w:tmpl w:val="9DCA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2B7150"/>
    <w:multiLevelType w:val="hybridMultilevel"/>
    <w:tmpl w:val="C9B8413A"/>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74"/>
    <w:rsid w:val="00003620"/>
    <w:rsid w:val="000074BA"/>
    <w:rsid w:val="000107F3"/>
    <w:rsid w:val="0002365D"/>
    <w:rsid w:val="00051C25"/>
    <w:rsid w:val="00060641"/>
    <w:rsid w:val="00062F9F"/>
    <w:rsid w:val="000709CD"/>
    <w:rsid w:val="000904ED"/>
    <w:rsid w:val="00092BF3"/>
    <w:rsid w:val="000A5DE4"/>
    <w:rsid w:val="000B4E63"/>
    <w:rsid w:val="000B5B3A"/>
    <w:rsid w:val="000C1624"/>
    <w:rsid w:val="000C3489"/>
    <w:rsid w:val="000D10D0"/>
    <w:rsid w:val="000E632A"/>
    <w:rsid w:val="000E775A"/>
    <w:rsid w:val="00142072"/>
    <w:rsid w:val="001512E1"/>
    <w:rsid w:val="001542C9"/>
    <w:rsid w:val="001726E4"/>
    <w:rsid w:val="00173998"/>
    <w:rsid w:val="001A3732"/>
    <w:rsid w:val="001B7F14"/>
    <w:rsid w:val="001F154D"/>
    <w:rsid w:val="00221795"/>
    <w:rsid w:val="00251274"/>
    <w:rsid w:val="00257C3F"/>
    <w:rsid w:val="00275CE2"/>
    <w:rsid w:val="002811C1"/>
    <w:rsid w:val="002960AA"/>
    <w:rsid w:val="002B4720"/>
    <w:rsid w:val="002B5873"/>
    <w:rsid w:val="002E16FC"/>
    <w:rsid w:val="00337756"/>
    <w:rsid w:val="00345562"/>
    <w:rsid w:val="003A0E43"/>
    <w:rsid w:val="003B1272"/>
    <w:rsid w:val="003E00AB"/>
    <w:rsid w:val="003F4683"/>
    <w:rsid w:val="00414A12"/>
    <w:rsid w:val="00421C90"/>
    <w:rsid w:val="00425C60"/>
    <w:rsid w:val="00433AFA"/>
    <w:rsid w:val="0044306A"/>
    <w:rsid w:val="00460188"/>
    <w:rsid w:val="004657E7"/>
    <w:rsid w:val="00466B82"/>
    <w:rsid w:val="004B0AD3"/>
    <w:rsid w:val="004B6E77"/>
    <w:rsid w:val="004E4971"/>
    <w:rsid w:val="004F77B6"/>
    <w:rsid w:val="0051428F"/>
    <w:rsid w:val="00530EAD"/>
    <w:rsid w:val="0054673A"/>
    <w:rsid w:val="00565BD4"/>
    <w:rsid w:val="00576A62"/>
    <w:rsid w:val="005866A2"/>
    <w:rsid w:val="00587334"/>
    <w:rsid w:val="005A0AE0"/>
    <w:rsid w:val="005A4AFD"/>
    <w:rsid w:val="005E468C"/>
    <w:rsid w:val="005F07AB"/>
    <w:rsid w:val="00602145"/>
    <w:rsid w:val="00615537"/>
    <w:rsid w:val="006210FA"/>
    <w:rsid w:val="006610D9"/>
    <w:rsid w:val="006655CF"/>
    <w:rsid w:val="00681564"/>
    <w:rsid w:val="006A496C"/>
    <w:rsid w:val="006C610A"/>
    <w:rsid w:val="006D1C6E"/>
    <w:rsid w:val="006D3080"/>
    <w:rsid w:val="006E7149"/>
    <w:rsid w:val="006E7835"/>
    <w:rsid w:val="006F47B2"/>
    <w:rsid w:val="00701111"/>
    <w:rsid w:val="00724019"/>
    <w:rsid w:val="00744737"/>
    <w:rsid w:val="007627EF"/>
    <w:rsid w:val="007775A7"/>
    <w:rsid w:val="00785FC8"/>
    <w:rsid w:val="00786E57"/>
    <w:rsid w:val="007953F8"/>
    <w:rsid w:val="00795F32"/>
    <w:rsid w:val="007C0240"/>
    <w:rsid w:val="007D4739"/>
    <w:rsid w:val="007E1591"/>
    <w:rsid w:val="00805A0D"/>
    <w:rsid w:val="00825972"/>
    <w:rsid w:val="00831511"/>
    <w:rsid w:val="0083312A"/>
    <w:rsid w:val="008447EB"/>
    <w:rsid w:val="00864DA8"/>
    <w:rsid w:val="008D78A5"/>
    <w:rsid w:val="008E4983"/>
    <w:rsid w:val="00903849"/>
    <w:rsid w:val="009172FC"/>
    <w:rsid w:val="00936613"/>
    <w:rsid w:val="00936615"/>
    <w:rsid w:val="00945423"/>
    <w:rsid w:val="0096727F"/>
    <w:rsid w:val="00975CCF"/>
    <w:rsid w:val="00985C19"/>
    <w:rsid w:val="0098602B"/>
    <w:rsid w:val="009A5341"/>
    <w:rsid w:val="009F13C8"/>
    <w:rsid w:val="009F7B6B"/>
    <w:rsid w:val="00A169AD"/>
    <w:rsid w:val="00A3396D"/>
    <w:rsid w:val="00A375D1"/>
    <w:rsid w:val="00A46078"/>
    <w:rsid w:val="00A4731A"/>
    <w:rsid w:val="00A565A3"/>
    <w:rsid w:val="00A56A0B"/>
    <w:rsid w:val="00A621BB"/>
    <w:rsid w:val="00A76000"/>
    <w:rsid w:val="00A77D11"/>
    <w:rsid w:val="00AC3688"/>
    <w:rsid w:val="00AC54FA"/>
    <w:rsid w:val="00B04376"/>
    <w:rsid w:val="00B05650"/>
    <w:rsid w:val="00B1436C"/>
    <w:rsid w:val="00B15A81"/>
    <w:rsid w:val="00B26E74"/>
    <w:rsid w:val="00B4261B"/>
    <w:rsid w:val="00B44A70"/>
    <w:rsid w:val="00B51997"/>
    <w:rsid w:val="00B5206F"/>
    <w:rsid w:val="00B53A6B"/>
    <w:rsid w:val="00BA1B95"/>
    <w:rsid w:val="00BA65A9"/>
    <w:rsid w:val="00BA7F55"/>
    <w:rsid w:val="00BB1318"/>
    <w:rsid w:val="00BC1759"/>
    <w:rsid w:val="00BC6470"/>
    <w:rsid w:val="00BF4E91"/>
    <w:rsid w:val="00C221DA"/>
    <w:rsid w:val="00C2261F"/>
    <w:rsid w:val="00C32596"/>
    <w:rsid w:val="00C4266A"/>
    <w:rsid w:val="00C75A6F"/>
    <w:rsid w:val="00CA7E9E"/>
    <w:rsid w:val="00CB03EB"/>
    <w:rsid w:val="00CE1A70"/>
    <w:rsid w:val="00D34962"/>
    <w:rsid w:val="00D4137C"/>
    <w:rsid w:val="00D6725E"/>
    <w:rsid w:val="00D73C12"/>
    <w:rsid w:val="00D93AEA"/>
    <w:rsid w:val="00D93F3C"/>
    <w:rsid w:val="00DA3A8F"/>
    <w:rsid w:val="00DB4936"/>
    <w:rsid w:val="00DD5050"/>
    <w:rsid w:val="00DE081D"/>
    <w:rsid w:val="00DE0970"/>
    <w:rsid w:val="00DF0D18"/>
    <w:rsid w:val="00E06B70"/>
    <w:rsid w:val="00E13A1E"/>
    <w:rsid w:val="00E268EB"/>
    <w:rsid w:val="00E77CB5"/>
    <w:rsid w:val="00EA6EB5"/>
    <w:rsid w:val="00EC5FE4"/>
    <w:rsid w:val="00ED26FC"/>
    <w:rsid w:val="00ED38A4"/>
    <w:rsid w:val="00EE7E9A"/>
    <w:rsid w:val="00F02EB1"/>
    <w:rsid w:val="00F13774"/>
    <w:rsid w:val="00F21B1B"/>
    <w:rsid w:val="00F65EFF"/>
    <w:rsid w:val="00F83E71"/>
    <w:rsid w:val="00FD2B2D"/>
    <w:rsid w:val="00FD4CC6"/>
    <w:rsid w:val="00FD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2F8B"/>
  <w15:chartTrackingRefBased/>
  <w15:docId w15:val="{B1D491AF-B3E1-44C4-BBD3-CA0BF4C8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774"/>
    <w:pPr>
      <w:keepNext/>
      <w:keepLines/>
      <w:spacing w:before="240" w:after="0"/>
      <w:outlineLvl w:val="0"/>
    </w:pPr>
    <w:rPr>
      <w:rFonts w:asciiTheme="majorHAnsi" w:eastAsiaTheme="majorEastAsia" w:hAnsiTheme="majorHAnsi" w:cstheme="majorBidi"/>
      <w:color w:val="D50E1A" w:themeColor="accent1" w:themeShade="BF"/>
      <w:sz w:val="32"/>
      <w:szCs w:val="32"/>
    </w:rPr>
  </w:style>
  <w:style w:type="paragraph" w:styleId="Heading2">
    <w:name w:val="heading 2"/>
    <w:basedOn w:val="Normal"/>
    <w:next w:val="Normal"/>
    <w:link w:val="Heading2Char"/>
    <w:uiPriority w:val="9"/>
    <w:unhideWhenUsed/>
    <w:qFormat/>
    <w:rsid w:val="007627EF"/>
    <w:pPr>
      <w:keepNext/>
      <w:keepLines/>
      <w:spacing w:before="40" w:after="0"/>
      <w:outlineLvl w:val="1"/>
    </w:pPr>
    <w:rPr>
      <w:rFonts w:asciiTheme="majorHAnsi" w:eastAsiaTheme="majorEastAsia" w:hAnsiTheme="majorHAnsi" w:cstheme="majorBidi"/>
      <w:color w:val="D50E1A" w:themeColor="accent1" w:themeShade="BF"/>
      <w:sz w:val="26"/>
      <w:szCs w:val="26"/>
    </w:rPr>
  </w:style>
  <w:style w:type="paragraph" w:styleId="Heading3">
    <w:name w:val="heading 3"/>
    <w:basedOn w:val="Normal"/>
    <w:next w:val="Normal"/>
    <w:link w:val="Heading3Char"/>
    <w:uiPriority w:val="9"/>
    <w:unhideWhenUsed/>
    <w:qFormat/>
    <w:rsid w:val="00EA6EB5"/>
    <w:pPr>
      <w:keepNext/>
      <w:keepLines/>
      <w:spacing w:before="40" w:after="0"/>
      <w:outlineLvl w:val="2"/>
    </w:pPr>
    <w:rPr>
      <w:rFonts w:asciiTheme="majorHAnsi" w:eastAsiaTheme="majorEastAsia" w:hAnsiTheme="majorHAnsi" w:cstheme="majorBidi"/>
      <w:color w:val="8D091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7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77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13774"/>
    <w:rPr>
      <w:rFonts w:asciiTheme="majorHAnsi" w:eastAsiaTheme="majorEastAsia" w:hAnsiTheme="majorHAnsi" w:cstheme="majorBidi"/>
      <w:color w:val="D50E1A" w:themeColor="accent1" w:themeShade="BF"/>
      <w:sz w:val="32"/>
      <w:szCs w:val="32"/>
    </w:rPr>
  </w:style>
  <w:style w:type="paragraph" w:styleId="TOCHeading">
    <w:name w:val="TOC Heading"/>
    <w:basedOn w:val="Heading1"/>
    <w:next w:val="Normal"/>
    <w:uiPriority w:val="39"/>
    <w:unhideWhenUsed/>
    <w:qFormat/>
    <w:rsid w:val="007627EF"/>
    <w:pPr>
      <w:outlineLvl w:val="9"/>
    </w:pPr>
  </w:style>
  <w:style w:type="paragraph" w:styleId="TOC1">
    <w:name w:val="toc 1"/>
    <w:basedOn w:val="Normal"/>
    <w:next w:val="Normal"/>
    <w:autoRedefine/>
    <w:uiPriority w:val="39"/>
    <w:unhideWhenUsed/>
    <w:rsid w:val="007627EF"/>
    <w:pPr>
      <w:spacing w:after="100"/>
    </w:pPr>
  </w:style>
  <w:style w:type="character" w:styleId="Hyperlink">
    <w:name w:val="Hyperlink"/>
    <w:basedOn w:val="DefaultParagraphFont"/>
    <w:uiPriority w:val="99"/>
    <w:unhideWhenUsed/>
    <w:rsid w:val="007627EF"/>
    <w:rPr>
      <w:color w:val="2F395F" w:themeColor="hyperlink"/>
      <w:u w:val="single"/>
    </w:rPr>
  </w:style>
  <w:style w:type="character" w:customStyle="1" w:styleId="Heading2Char">
    <w:name w:val="Heading 2 Char"/>
    <w:basedOn w:val="DefaultParagraphFont"/>
    <w:link w:val="Heading2"/>
    <w:uiPriority w:val="9"/>
    <w:rsid w:val="007627EF"/>
    <w:rPr>
      <w:rFonts w:asciiTheme="majorHAnsi" w:eastAsiaTheme="majorEastAsia" w:hAnsiTheme="majorHAnsi" w:cstheme="majorBidi"/>
      <w:color w:val="D50E1A" w:themeColor="accent1" w:themeShade="BF"/>
      <w:sz w:val="26"/>
      <w:szCs w:val="26"/>
    </w:rPr>
  </w:style>
  <w:style w:type="paragraph" w:styleId="TOC2">
    <w:name w:val="toc 2"/>
    <w:basedOn w:val="Normal"/>
    <w:next w:val="Normal"/>
    <w:autoRedefine/>
    <w:uiPriority w:val="39"/>
    <w:unhideWhenUsed/>
    <w:rsid w:val="007627EF"/>
    <w:pPr>
      <w:spacing w:after="100"/>
      <w:ind w:left="220"/>
    </w:pPr>
  </w:style>
  <w:style w:type="paragraph" w:styleId="FootnoteText">
    <w:name w:val="footnote text"/>
    <w:basedOn w:val="Normal"/>
    <w:link w:val="FootnoteTextChar"/>
    <w:uiPriority w:val="99"/>
    <w:semiHidden/>
    <w:unhideWhenUsed/>
    <w:rsid w:val="0044306A"/>
    <w:pPr>
      <w:autoSpaceDE w:val="0"/>
      <w:autoSpaceDN w:val="0"/>
      <w:adjustRightInd w:val="0"/>
      <w:spacing w:after="0" w:line="240" w:lineRule="auto"/>
    </w:pPr>
    <w:rPr>
      <w:rFonts w:ascii="Arial" w:eastAsia="Times New Roman" w:hAnsi="Arial" w:cs="Arial"/>
      <w:color w:val="000000"/>
      <w:sz w:val="20"/>
      <w:szCs w:val="20"/>
    </w:rPr>
  </w:style>
  <w:style w:type="character" w:customStyle="1" w:styleId="FootnoteTextChar">
    <w:name w:val="Footnote Text Char"/>
    <w:basedOn w:val="DefaultParagraphFont"/>
    <w:link w:val="FootnoteText"/>
    <w:uiPriority w:val="99"/>
    <w:semiHidden/>
    <w:rsid w:val="0044306A"/>
    <w:rPr>
      <w:rFonts w:ascii="Arial" w:eastAsia="Times New Roman" w:hAnsi="Arial" w:cs="Arial"/>
      <w:color w:val="000000"/>
      <w:sz w:val="20"/>
      <w:szCs w:val="20"/>
    </w:rPr>
  </w:style>
  <w:style w:type="character" w:styleId="FootnoteReference">
    <w:name w:val="footnote reference"/>
    <w:basedOn w:val="DefaultParagraphFont"/>
    <w:uiPriority w:val="99"/>
    <w:semiHidden/>
    <w:unhideWhenUsed/>
    <w:rsid w:val="0044306A"/>
    <w:rPr>
      <w:vertAlign w:val="superscript"/>
    </w:rPr>
  </w:style>
  <w:style w:type="table" w:styleId="TableGrid">
    <w:name w:val="Table Grid"/>
    <w:basedOn w:val="TableNormal"/>
    <w:rsid w:val="00275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975CCF"/>
    <w:rPr>
      <w:i/>
      <w:iCs/>
    </w:rPr>
  </w:style>
  <w:style w:type="paragraph" w:styleId="ListParagraph">
    <w:name w:val="List Paragraph"/>
    <w:basedOn w:val="Normal"/>
    <w:uiPriority w:val="34"/>
    <w:qFormat/>
    <w:rsid w:val="00E268EB"/>
    <w:pPr>
      <w:ind w:left="720"/>
      <w:contextualSpacing/>
    </w:pPr>
  </w:style>
  <w:style w:type="character" w:styleId="UnresolvedMention">
    <w:name w:val="Unresolved Mention"/>
    <w:basedOn w:val="DefaultParagraphFont"/>
    <w:uiPriority w:val="99"/>
    <w:semiHidden/>
    <w:unhideWhenUsed/>
    <w:rsid w:val="008D78A5"/>
    <w:rPr>
      <w:color w:val="605E5C"/>
      <w:shd w:val="clear" w:color="auto" w:fill="E1DFDD"/>
    </w:rPr>
  </w:style>
  <w:style w:type="character" w:customStyle="1" w:styleId="Heading3Char">
    <w:name w:val="Heading 3 Char"/>
    <w:basedOn w:val="DefaultParagraphFont"/>
    <w:link w:val="Heading3"/>
    <w:uiPriority w:val="9"/>
    <w:rsid w:val="00EA6EB5"/>
    <w:rPr>
      <w:rFonts w:asciiTheme="majorHAnsi" w:eastAsiaTheme="majorEastAsia" w:hAnsiTheme="majorHAnsi" w:cstheme="majorBidi"/>
      <w:color w:val="8D0911" w:themeColor="accent1" w:themeShade="7F"/>
      <w:sz w:val="24"/>
      <w:szCs w:val="24"/>
    </w:rPr>
  </w:style>
  <w:style w:type="paragraph" w:styleId="TOC3">
    <w:name w:val="toc 3"/>
    <w:basedOn w:val="Normal"/>
    <w:next w:val="Normal"/>
    <w:autoRedefine/>
    <w:uiPriority w:val="39"/>
    <w:unhideWhenUsed/>
    <w:rsid w:val="00CA7E9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359696">
      <w:bodyDiv w:val="1"/>
      <w:marLeft w:val="0"/>
      <w:marRight w:val="0"/>
      <w:marTop w:val="0"/>
      <w:marBottom w:val="0"/>
      <w:divBdr>
        <w:top w:val="none" w:sz="0" w:space="0" w:color="auto"/>
        <w:left w:val="none" w:sz="0" w:space="0" w:color="auto"/>
        <w:bottom w:val="none" w:sz="0" w:space="0" w:color="auto"/>
        <w:right w:val="none" w:sz="0" w:space="0" w:color="auto"/>
      </w:divBdr>
    </w:div>
    <w:div w:id="1358193088">
      <w:bodyDiv w:val="1"/>
      <w:marLeft w:val="0"/>
      <w:marRight w:val="0"/>
      <w:marTop w:val="0"/>
      <w:marBottom w:val="0"/>
      <w:divBdr>
        <w:top w:val="none" w:sz="0" w:space="0" w:color="auto"/>
        <w:left w:val="none" w:sz="0" w:space="0" w:color="auto"/>
        <w:bottom w:val="none" w:sz="0" w:space="0" w:color="auto"/>
        <w:right w:val="none" w:sz="0" w:space="0" w:color="auto"/>
      </w:divBdr>
    </w:div>
    <w:div w:id="168860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a.org/reports/methane-tracker-2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ghgenius.ca/" TargetMode="External"/><Relationship Id="rId3" Type="http://schemas.openxmlformats.org/officeDocument/2006/relationships/hyperlink" Target="https://www.epa.gov/sites/production/files/2018-02/documents/egrid2016_technicalsupportdocument_0.pdf" TargetMode="External"/><Relationship Id="rId7" Type="http://schemas.openxmlformats.org/officeDocument/2006/relationships/hyperlink" Target="https://pscleanair.gov/460/Current-Permitting-Projects" TargetMode="External"/><Relationship Id="rId2" Type="http://schemas.openxmlformats.org/officeDocument/2006/relationships/hyperlink" Target="https://www.edf.org/sites/default/files/EDF-Methane-Science-Brochure.pdf" TargetMode="External"/><Relationship Id="rId1" Type="http://schemas.openxmlformats.org/officeDocument/2006/relationships/hyperlink" Target="https://www.esrl.noaa.gov/gmd/ccgg/trends_ch4/" TargetMode="External"/><Relationship Id="rId6" Type="http://schemas.openxmlformats.org/officeDocument/2006/relationships/hyperlink" Target="https://kalamamfgfacilitysepa.com/" TargetMode="External"/><Relationship Id="rId5" Type="http://schemas.openxmlformats.org/officeDocument/2006/relationships/hyperlink" Target="https://www.iea.org/articles/global-methane-emissions-from-oil-and-gas" TargetMode="External"/><Relationship Id="rId4" Type="http://schemas.openxmlformats.org/officeDocument/2006/relationships/hyperlink" Target="https://www.c2es.org/content/ipcc-fifth-assessment-report/" TargetMode="External"/></Relationships>
</file>

<file path=word/theme/theme1.xml><?xml version="1.0" encoding="utf-8"?>
<a:theme xmlns:a="http://schemas.openxmlformats.org/drawingml/2006/main" name="2021PowerPlan2">
  <a:themeElements>
    <a:clrScheme name="2021PowerPlan">
      <a:dk1>
        <a:srgbClr val="000000"/>
      </a:dk1>
      <a:lt1>
        <a:srgbClr val="FEFFFF"/>
      </a:lt1>
      <a:dk2>
        <a:srgbClr val="EFE8CF"/>
      </a:dk2>
      <a:lt2>
        <a:srgbClr val="FEFFFF"/>
      </a:lt2>
      <a:accent1>
        <a:srgbClr val="F23E49"/>
      </a:accent1>
      <a:accent2>
        <a:srgbClr val="F77F38"/>
      </a:accent2>
      <a:accent3>
        <a:srgbClr val="F7C719"/>
      </a:accent3>
      <a:accent4>
        <a:srgbClr val="9AC368"/>
      </a:accent4>
      <a:accent5>
        <a:srgbClr val="03B28B"/>
      </a:accent5>
      <a:accent6>
        <a:srgbClr val="02BAD2"/>
      </a:accent6>
      <a:hlink>
        <a:srgbClr val="2F395F"/>
      </a:hlink>
      <a:folHlink>
        <a:srgbClr val="576C7D"/>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2021PowerPlan" id="{FE2D48F6-2255-4CA2-8CDC-3AD959F99ED5}" vid="{EB538543-5F3B-42A0-95F9-DFDD7530CAA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4CE64-42E7-42A7-9C46-0359F524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10</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Simmons</dc:creator>
  <cp:keywords/>
  <dc:description/>
  <cp:lastModifiedBy>Steven Simmons</cp:lastModifiedBy>
  <cp:revision>29</cp:revision>
  <dcterms:created xsi:type="dcterms:W3CDTF">2020-06-11T22:32:00Z</dcterms:created>
  <dcterms:modified xsi:type="dcterms:W3CDTF">2020-06-15T01:51:00Z</dcterms:modified>
</cp:coreProperties>
</file>