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E4C" w:rsidRDefault="00FF5E4C" w:rsidP="005274F5">
      <w:pPr>
        <w:jc w:val="center"/>
        <w:rPr>
          <w:sz w:val="32"/>
          <w:szCs w:val="32"/>
        </w:rPr>
      </w:pPr>
    </w:p>
    <w:p w:rsidR="00FF5E4C" w:rsidRDefault="00FF5E4C" w:rsidP="005274F5">
      <w:pPr>
        <w:jc w:val="center"/>
        <w:rPr>
          <w:sz w:val="32"/>
          <w:szCs w:val="32"/>
        </w:rPr>
      </w:pPr>
    </w:p>
    <w:p w:rsidR="00FF5E4C" w:rsidRDefault="00FF5E4C" w:rsidP="005274F5">
      <w:pPr>
        <w:jc w:val="center"/>
        <w:rPr>
          <w:sz w:val="32"/>
          <w:szCs w:val="32"/>
        </w:rPr>
      </w:pPr>
    </w:p>
    <w:p w:rsidR="00FF5E4C" w:rsidRDefault="00FF5E4C" w:rsidP="005274F5">
      <w:pPr>
        <w:jc w:val="center"/>
        <w:rPr>
          <w:sz w:val="32"/>
          <w:szCs w:val="32"/>
        </w:rPr>
      </w:pPr>
    </w:p>
    <w:p w:rsidR="00FF5E4C" w:rsidRDefault="00FF5E4C" w:rsidP="005274F5">
      <w:pPr>
        <w:jc w:val="center"/>
        <w:rPr>
          <w:sz w:val="32"/>
          <w:szCs w:val="32"/>
        </w:rPr>
      </w:pPr>
    </w:p>
    <w:p w:rsidR="00FF5E4C" w:rsidRDefault="00FF5E4C" w:rsidP="005274F5">
      <w:pPr>
        <w:jc w:val="center"/>
        <w:rPr>
          <w:sz w:val="32"/>
          <w:szCs w:val="32"/>
        </w:rPr>
      </w:pPr>
      <w:r>
        <w:rPr>
          <w:sz w:val="32"/>
          <w:szCs w:val="32"/>
        </w:rPr>
        <w:t>Relative Northwest Benefits of Local vs. Remote Wind Generation</w:t>
      </w:r>
    </w:p>
    <w:p w:rsidR="00FF5E4C" w:rsidRDefault="00FF5E4C" w:rsidP="005274F5">
      <w:pPr>
        <w:jc w:val="center"/>
        <w:rPr>
          <w:sz w:val="32"/>
          <w:szCs w:val="32"/>
        </w:rPr>
      </w:pPr>
      <w:r>
        <w:rPr>
          <w:sz w:val="32"/>
          <w:szCs w:val="32"/>
        </w:rPr>
        <w:t>Wind Integration Study Team</w:t>
      </w:r>
    </w:p>
    <w:p w:rsidR="00FF5E4C" w:rsidRDefault="00FF5E4C" w:rsidP="005274F5">
      <w:pPr>
        <w:jc w:val="center"/>
        <w:rPr>
          <w:sz w:val="32"/>
          <w:szCs w:val="32"/>
        </w:rPr>
      </w:pPr>
      <w:r>
        <w:rPr>
          <w:sz w:val="32"/>
          <w:szCs w:val="32"/>
        </w:rPr>
        <w:t>FINAL REPORT</w:t>
      </w:r>
    </w:p>
    <w:p w:rsidR="00FF5E4C" w:rsidRPr="005274F5" w:rsidRDefault="00FF5E4C" w:rsidP="005274F5">
      <w:pPr>
        <w:jc w:val="center"/>
        <w:rPr>
          <w:sz w:val="32"/>
          <w:szCs w:val="32"/>
        </w:rPr>
      </w:pPr>
      <w:r>
        <w:rPr>
          <w:sz w:val="32"/>
          <w:szCs w:val="32"/>
        </w:rPr>
        <w:t>January 2011</w:t>
      </w:r>
    </w:p>
    <w:p w:rsidR="00FF5E4C" w:rsidRDefault="00FF5E4C" w:rsidP="002143B9"/>
    <w:p w:rsidR="00FF5E4C" w:rsidRDefault="00FF5E4C" w:rsidP="002143B9"/>
    <w:p w:rsidR="00FF5E4C" w:rsidRDefault="00FF5E4C" w:rsidP="006552A2">
      <w:pPr>
        <w:jc w:val="center"/>
      </w:pPr>
      <w:r>
        <w:t>Accepted by Wind Integration Study Team January 28, 2011</w:t>
      </w:r>
    </w:p>
    <w:p w:rsidR="00FF5E4C" w:rsidRDefault="00FF5E4C" w:rsidP="002143B9"/>
    <w:p w:rsidR="00FF5E4C" w:rsidRDefault="00FF5E4C" w:rsidP="002143B9"/>
    <w:p w:rsidR="00FF5E4C" w:rsidRDefault="00FF5E4C" w:rsidP="002143B9"/>
    <w:p w:rsidR="00FF5E4C" w:rsidRDefault="00FF5E4C" w:rsidP="002143B9"/>
    <w:p w:rsidR="00FF5E4C" w:rsidRDefault="00FF5E4C" w:rsidP="002143B9"/>
    <w:p w:rsidR="00FF5E4C" w:rsidRDefault="00FF5E4C" w:rsidP="002143B9"/>
    <w:p w:rsidR="00FF5E4C" w:rsidRDefault="00FF5E4C" w:rsidP="002143B9"/>
    <w:p w:rsidR="00FF5E4C" w:rsidRDefault="00FF5E4C" w:rsidP="002143B9"/>
    <w:p w:rsidR="00FF5E4C" w:rsidRDefault="00FF5E4C" w:rsidP="002143B9"/>
    <w:p w:rsidR="00FF5E4C" w:rsidRDefault="00FF5E4C" w:rsidP="002143B9"/>
    <w:p w:rsidR="00FF5E4C" w:rsidRDefault="00FF5E4C" w:rsidP="002143B9"/>
    <w:p w:rsidR="00FF5E4C" w:rsidRPr="00CF7CAF" w:rsidRDefault="00FF5E4C" w:rsidP="001C3803">
      <w:pPr>
        <w:pStyle w:val="TOCHeading"/>
        <w:numPr>
          <w:ilvl w:val="0"/>
          <w:numId w:val="0"/>
        </w:numPr>
        <w:jc w:val="center"/>
        <w:rPr>
          <w:rFonts w:ascii="Calibri" w:hAnsi="Calibri" w:cs="Calibri"/>
          <w:color w:val="000000"/>
          <w:sz w:val="22"/>
          <w:szCs w:val="22"/>
        </w:rPr>
      </w:pPr>
      <w:r w:rsidRPr="00CF7CAF">
        <w:rPr>
          <w:rFonts w:ascii="Calibri" w:hAnsi="Calibri" w:cs="Calibri"/>
          <w:color w:val="000000"/>
          <w:sz w:val="22"/>
          <w:szCs w:val="22"/>
        </w:rPr>
        <w:t>Table of Contents</w:t>
      </w:r>
    </w:p>
    <w:p w:rsidR="00FF5E4C" w:rsidRPr="0091274E" w:rsidRDefault="00FF5E4C">
      <w:pPr>
        <w:pStyle w:val="TOC1"/>
        <w:rPr>
          <w:rFonts w:ascii="Times New Roman" w:hAnsi="Times New Roman"/>
          <w:noProof/>
          <w:sz w:val="20"/>
          <w:szCs w:val="20"/>
        </w:rPr>
      </w:pPr>
      <w:r w:rsidRPr="00796762">
        <w:rPr>
          <w:rFonts w:cs="Calibri"/>
          <w:sz w:val="20"/>
          <w:szCs w:val="20"/>
        </w:rPr>
        <w:fldChar w:fldCharType="begin"/>
      </w:r>
      <w:r w:rsidRPr="00796762">
        <w:rPr>
          <w:rFonts w:cs="Calibri"/>
          <w:sz w:val="20"/>
          <w:szCs w:val="20"/>
        </w:rPr>
        <w:instrText xml:space="preserve"> TOC \o "1-3" \h \z \u </w:instrText>
      </w:r>
      <w:r w:rsidRPr="00796762">
        <w:rPr>
          <w:rFonts w:cs="Calibri"/>
          <w:sz w:val="20"/>
          <w:szCs w:val="20"/>
        </w:rPr>
        <w:fldChar w:fldCharType="separate"/>
      </w:r>
      <w:hyperlink w:anchor="_Toc260752692" w:history="1">
        <w:r w:rsidRPr="0091274E">
          <w:rPr>
            <w:rStyle w:val="Hyperlink"/>
            <w:rFonts w:cs="Calibri"/>
            <w:noProof/>
            <w:sz w:val="20"/>
            <w:szCs w:val="20"/>
          </w:rPr>
          <w:t>I.</w:t>
        </w:r>
        <w:r w:rsidRPr="0091274E">
          <w:rPr>
            <w:rFonts w:ascii="Times New Roman" w:hAnsi="Times New Roman"/>
            <w:noProof/>
            <w:sz w:val="20"/>
            <w:szCs w:val="20"/>
          </w:rPr>
          <w:tab/>
        </w:r>
        <w:r w:rsidRPr="0091274E">
          <w:rPr>
            <w:rStyle w:val="Hyperlink"/>
            <w:rFonts w:cs="Calibri"/>
            <w:noProof/>
            <w:sz w:val="20"/>
            <w:szCs w:val="20"/>
          </w:rPr>
          <w:t>Executive Summary</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_Toc260752692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1"/>
        <w:rPr>
          <w:rFonts w:ascii="Times New Roman" w:hAnsi="Times New Roman"/>
          <w:noProof/>
          <w:sz w:val="20"/>
          <w:szCs w:val="20"/>
        </w:rPr>
      </w:pPr>
      <w:hyperlink w:anchor="_Toc260752693" w:history="1">
        <w:r w:rsidRPr="0091274E">
          <w:rPr>
            <w:rStyle w:val="Hyperlink"/>
            <w:rFonts w:cs="Calibri"/>
            <w:noProof/>
            <w:sz w:val="20"/>
            <w:szCs w:val="20"/>
          </w:rPr>
          <w:t>II.</w:t>
        </w:r>
        <w:r w:rsidRPr="0091274E">
          <w:rPr>
            <w:rFonts w:ascii="Times New Roman" w:hAnsi="Times New Roman"/>
            <w:noProof/>
            <w:sz w:val="20"/>
            <w:szCs w:val="20"/>
          </w:rPr>
          <w:tab/>
        </w:r>
        <w:r w:rsidRPr="0091274E">
          <w:rPr>
            <w:rStyle w:val="Hyperlink"/>
            <w:rFonts w:cs="Calibri"/>
            <w:noProof/>
            <w:sz w:val="20"/>
            <w:szCs w:val="20"/>
          </w:rPr>
          <w:t>Report</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_Toc260752693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1"/>
        <w:rPr>
          <w:rFonts w:ascii="Times New Roman" w:hAnsi="Times New Roman"/>
          <w:noProof/>
          <w:sz w:val="20"/>
          <w:szCs w:val="20"/>
        </w:rPr>
      </w:pPr>
      <w:hyperlink w:anchor="_Toc260752694" w:history="1">
        <w:r w:rsidRPr="0091274E">
          <w:rPr>
            <w:rStyle w:val="Hyperlink"/>
            <w:rFonts w:cs="Calibri"/>
            <w:noProof/>
            <w:sz w:val="20"/>
            <w:szCs w:val="20"/>
          </w:rPr>
          <w:t>III.</w:t>
        </w:r>
        <w:r w:rsidRPr="0091274E">
          <w:rPr>
            <w:rFonts w:ascii="Times New Roman" w:hAnsi="Times New Roman"/>
            <w:noProof/>
            <w:sz w:val="20"/>
            <w:szCs w:val="20"/>
          </w:rPr>
          <w:tab/>
        </w:r>
        <w:r w:rsidRPr="0091274E">
          <w:rPr>
            <w:rStyle w:val="Hyperlink"/>
            <w:rFonts w:cs="Calibri"/>
            <w:noProof/>
            <w:sz w:val="20"/>
            <w:szCs w:val="20"/>
          </w:rPr>
          <w:t>Appendices - Individual Studies</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_Toc260752694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2"/>
        <w:rPr>
          <w:rFonts w:ascii="Times New Roman" w:hAnsi="Times New Roman"/>
          <w:noProof/>
          <w:sz w:val="20"/>
          <w:szCs w:val="20"/>
        </w:rPr>
      </w:pPr>
      <w:hyperlink w:anchor="_Toc260752695" w:history="1">
        <w:r w:rsidRPr="0091274E">
          <w:rPr>
            <w:rStyle w:val="Hyperlink"/>
            <w:noProof/>
            <w:sz w:val="20"/>
            <w:szCs w:val="20"/>
          </w:rPr>
          <w:t>A.</w:t>
        </w:r>
        <w:r w:rsidRPr="0091274E">
          <w:rPr>
            <w:rFonts w:ascii="Times New Roman" w:hAnsi="Times New Roman"/>
            <w:noProof/>
            <w:sz w:val="20"/>
            <w:szCs w:val="20"/>
          </w:rPr>
          <w:tab/>
        </w:r>
        <w:r w:rsidRPr="0091274E">
          <w:rPr>
            <w:rStyle w:val="Hyperlink"/>
            <w:rFonts w:cs="Calibri"/>
            <w:noProof/>
            <w:sz w:val="20"/>
            <w:szCs w:val="20"/>
          </w:rPr>
          <w:t>LBL Study</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_Toc260752695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3"/>
        <w:tabs>
          <w:tab w:val="left" w:pos="960"/>
          <w:tab w:val="right" w:leader="dot" w:pos="9350"/>
        </w:tabs>
        <w:rPr>
          <w:rFonts w:ascii="Times New Roman" w:hAnsi="Times New Roman"/>
          <w:noProof/>
          <w:sz w:val="20"/>
          <w:szCs w:val="20"/>
        </w:rPr>
      </w:pPr>
      <w:hyperlink w:anchor="_Toc260752696" w:history="1">
        <w:r w:rsidRPr="0091274E">
          <w:rPr>
            <w:rStyle w:val="Hyperlink"/>
            <w:noProof/>
            <w:sz w:val="20"/>
            <w:szCs w:val="20"/>
          </w:rPr>
          <w:t>1.</w:t>
        </w:r>
        <w:r w:rsidRPr="0091274E">
          <w:rPr>
            <w:rFonts w:ascii="Times New Roman" w:hAnsi="Times New Roman"/>
            <w:noProof/>
            <w:sz w:val="20"/>
            <w:szCs w:val="20"/>
          </w:rPr>
          <w:tab/>
        </w:r>
        <w:r w:rsidRPr="0091274E">
          <w:rPr>
            <w:rStyle w:val="Hyperlink"/>
            <w:rFonts w:cs="Calibri"/>
            <w:noProof/>
            <w:sz w:val="20"/>
            <w:szCs w:val="20"/>
          </w:rPr>
          <w:t>Summary of  Exploration of Resource and Transmission Expansion Decisions in the  Western Renewable Energy Zone (WREZ) Initiative</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_Toc260752696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3"/>
        <w:tabs>
          <w:tab w:val="left" w:pos="960"/>
          <w:tab w:val="right" w:leader="dot" w:pos="9350"/>
        </w:tabs>
        <w:rPr>
          <w:rFonts w:ascii="Times New Roman" w:hAnsi="Times New Roman"/>
          <w:noProof/>
          <w:sz w:val="20"/>
          <w:szCs w:val="20"/>
        </w:rPr>
      </w:pPr>
      <w:hyperlink w:anchor="_Toc260752697" w:history="1">
        <w:r w:rsidRPr="0091274E">
          <w:rPr>
            <w:rStyle w:val="Hyperlink"/>
            <w:noProof/>
            <w:sz w:val="20"/>
            <w:szCs w:val="20"/>
          </w:rPr>
          <w:t>2.</w:t>
        </w:r>
        <w:r w:rsidRPr="0091274E">
          <w:rPr>
            <w:rFonts w:ascii="Times New Roman" w:hAnsi="Times New Roman"/>
            <w:noProof/>
            <w:sz w:val="20"/>
            <w:szCs w:val="20"/>
          </w:rPr>
          <w:tab/>
        </w:r>
        <w:r w:rsidRPr="0091274E">
          <w:rPr>
            <w:rStyle w:val="Hyperlink"/>
            <w:rFonts w:cs="Calibri"/>
            <w:noProof/>
            <w:sz w:val="20"/>
            <w:szCs w:val="20"/>
          </w:rPr>
          <w:t>Berkeley Labs (LBL) and Black &amp; Veatch - Analyses of Costs of Renewable Resources</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_Toc260752697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2"/>
        <w:rPr>
          <w:rFonts w:ascii="Times New Roman" w:hAnsi="Times New Roman"/>
          <w:noProof/>
          <w:sz w:val="20"/>
          <w:szCs w:val="20"/>
        </w:rPr>
      </w:pPr>
      <w:hyperlink w:anchor="_Toc260752698" w:history="1">
        <w:r w:rsidRPr="0091274E">
          <w:rPr>
            <w:rStyle w:val="Hyperlink"/>
            <w:noProof/>
            <w:sz w:val="20"/>
            <w:szCs w:val="20"/>
          </w:rPr>
          <w:t>B.</w:t>
        </w:r>
        <w:r w:rsidRPr="0091274E">
          <w:rPr>
            <w:rFonts w:ascii="Times New Roman" w:hAnsi="Times New Roman"/>
            <w:noProof/>
            <w:sz w:val="20"/>
            <w:szCs w:val="20"/>
          </w:rPr>
          <w:tab/>
        </w:r>
        <w:r w:rsidRPr="0091274E">
          <w:rPr>
            <w:rStyle w:val="Hyperlink"/>
            <w:rFonts w:cs="Calibri"/>
            <w:noProof/>
            <w:sz w:val="20"/>
            <w:szCs w:val="20"/>
          </w:rPr>
          <w:t>Statistical Modeling of NREL Wind Profiles</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_Toc260752698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2"/>
        <w:rPr>
          <w:rFonts w:ascii="Times New Roman" w:hAnsi="Times New Roman"/>
          <w:noProof/>
          <w:sz w:val="20"/>
          <w:szCs w:val="20"/>
        </w:rPr>
      </w:pPr>
      <w:hyperlink w:anchor="_Toc260752699" w:history="1">
        <w:r w:rsidRPr="0091274E">
          <w:rPr>
            <w:rStyle w:val="Hyperlink"/>
            <w:noProof/>
            <w:sz w:val="20"/>
            <w:szCs w:val="20"/>
          </w:rPr>
          <w:t>C.</w:t>
        </w:r>
        <w:r w:rsidRPr="0091274E">
          <w:rPr>
            <w:rFonts w:ascii="Times New Roman" w:hAnsi="Times New Roman"/>
            <w:noProof/>
            <w:sz w:val="20"/>
            <w:szCs w:val="20"/>
          </w:rPr>
          <w:tab/>
        </w:r>
        <w:r w:rsidRPr="0091274E">
          <w:rPr>
            <w:rStyle w:val="Hyperlink"/>
            <w:rFonts w:cs="Calibri"/>
            <w:noProof/>
            <w:sz w:val="20"/>
            <w:szCs w:val="20"/>
          </w:rPr>
          <w:t>IPC Studies</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_Toc260752699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2"/>
        <w:rPr>
          <w:rFonts w:ascii="Times New Roman" w:hAnsi="Times New Roman"/>
          <w:noProof/>
          <w:sz w:val="20"/>
          <w:szCs w:val="20"/>
        </w:rPr>
      </w:pPr>
      <w:hyperlink w:anchor="_Toc260752700" w:history="1">
        <w:r w:rsidRPr="0091274E">
          <w:rPr>
            <w:rStyle w:val="Hyperlink"/>
            <w:noProof/>
            <w:sz w:val="20"/>
            <w:szCs w:val="20"/>
          </w:rPr>
          <w:t>D.</w:t>
        </w:r>
        <w:r w:rsidRPr="0091274E">
          <w:rPr>
            <w:rFonts w:ascii="Times New Roman" w:hAnsi="Times New Roman"/>
            <w:noProof/>
            <w:sz w:val="20"/>
            <w:szCs w:val="20"/>
          </w:rPr>
          <w:tab/>
        </w:r>
        <w:r w:rsidRPr="00B51B86">
          <w:rPr>
            <w:rStyle w:val="Hyperlink"/>
            <w:rFonts w:cs="Calibri"/>
            <w:noProof/>
            <w:sz w:val="20"/>
            <w:szCs w:val="20"/>
          </w:rPr>
          <w:t>Operational Challenges with Wind Resources</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_Toc260752700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2"/>
        <w:rPr>
          <w:rFonts w:ascii="Times New Roman" w:hAnsi="Times New Roman"/>
          <w:noProof/>
          <w:sz w:val="20"/>
          <w:szCs w:val="20"/>
        </w:rPr>
      </w:pPr>
      <w:hyperlink w:anchor="_Toc260752701" w:history="1">
        <w:r w:rsidRPr="0091274E">
          <w:rPr>
            <w:rStyle w:val="Hyperlink"/>
            <w:noProof/>
            <w:sz w:val="20"/>
            <w:szCs w:val="20"/>
          </w:rPr>
          <w:t>E.</w:t>
        </w:r>
        <w:r w:rsidRPr="0091274E">
          <w:rPr>
            <w:rFonts w:ascii="Times New Roman" w:hAnsi="Times New Roman"/>
            <w:noProof/>
            <w:sz w:val="20"/>
            <w:szCs w:val="20"/>
          </w:rPr>
          <w:tab/>
        </w:r>
        <w:r w:rsidRPr="0091274E">
          <w:rPr>
            <w:rStyle w:val="Hyperlink"/>
            <w:rFonts w:cs="Calibri"/>
            <w:noProof/>
            <w:sz w:val="20"/>
            <w:szCs w:val="20"/>
          </w:rPr>
          <w:t>Northwest Power and Conservation Council’s Sixth Plan Wind Analysis</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_Toc260752701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2"/>
        <w:rPr>
          <w:rFonts w:ascii="Times New Roman" w:hAnsi="Times New Roman"/>
          <w:noProof/>
          <w:sz w:val="20"/>
          <w:szCs w:val="20"/>
        </w:rPr>
      </w:pPr>
      <w:hyperlink w:anchor="_Toc260752702" w:history="1">
        <w:r w:rsidRPr="0091274E">
          <w:rPr>
            <w:rStyle w:val="Hyperlink"/>
            <w:noProof/>
            <w:sz w:val="20"/>
            <w:szCs w:val="20"/>
          </w:rPr>
          <w:t>F.</w:t>
        </w:r>
        <w:r w:rsidRPr="0091274E">
          <w:rPr>
            <w:rFonts w:ascii="Times New Roman" w:hAnsi="Times New Roman"/>
            <w:noProof/>
            <w:sz w:val="20"/>
            <w:szCs w:val="20"/>
          </w:rPr>
          <w:tab/>
        </w:r>
        <w:r w:rsidRPr="0091274E">
          <w:rPr>
            <w:rStyle w:val="Hyperlink"/>
            <w:rFonts w:cs="Calibri"/>
            <w:noProof/>
            <w:sz w:val="20"/>
            <w:szCs w:val="20"/>
          </w:rPr>
          <w:t>NW WREZ Model and Peer Analysis Tool Studies by LBNL</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_Toc260752702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2"/>
        <w:rPr>
          <w:rFonts w:ascii="Times New Roman" w:hAnsi="Times New Roman"/>
          <w:noProof/>
          <w:sz w:val="20"/>
          <w:szCs w:val="20"/>
        </w:rPr>
      </w:pPr>
      <w:hyperlink w:anchor="_Toc260752703" w:history="1">
        <w:r w:rsidRPr="0091274E">
          <w:rPr>
            <w:rStyle w:val="Hyperlink"/>
            <w:noProof/>
            <w:sz w:val="20"/>
            <w:szCs w:val="20"/>
          </w:rPr>
          <w:t>G.</w:t>
        </w:r>
        <w:r w:rsidRPr="0091274E">
          <w:rPr>
            <w:rFonts w:ascii="Times New Roman" w:hAnsi="Times New Roman"/>
            <w:noProof/>
            <w:sz w:val="20"/>
            <w:szCs w:val="20"/>
          </w:rPr>
          <w:tab/>
        </w:r>
        <w:r w:rsidRPr="0091274E">
          <w:rPr>
            <w:rStyle w:val="Hyperlink"/>
            <w:rFonts w:cs="Calibri"/>
            <w:noProof/>
            <w:sz w:val="20"/>
            <w:szCs w:val="20"/>
          </w:rPr>
          <w:t>High Level Summary of TEPPC 2009 Study Concerning Local/Remote Issue</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_Toc260752703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2"/>
        <w:rPr>
          <w:rFonts w:ascii="Times New Roman" w:hAnsi="Times New Roman"/>
          <w:noProof/>
          <w:sz w:val="20"/>
          <w:szCs w:val="20"/>
        </w:rPr>
      </w:pPr>
      <w:hyperlink w:anchor="_Toc260752704" w:history="1">
        <w:r w:rsidRPr="0091274E">
          <w:rPr>
            <w:rStyle w:val="Hyperlink"/>
            <w:noProof/>
            <w:sz w:val="20"/>
            <w:szCs w:val="20"/>
          </w:rPr>
          <w:t>H.</w:t>
        </w:r>
        <w:r w:rsidRPr="0091274E">
          <w:rPr>
            <w:rFonts w:ascii="Times New Roman" w:hAnsi="Times New Roman"/>
            <w:noProof/>
            <w:sz w:val="20"/>
            <w:szCs w:val="20"/>
          </w:rPr>
          <w:tab/>
        </w:r>
        <w:r w:rsidRPr="0091274E">
          <w:rPr>
            <w:rStyle w:val="Hyperlink"/>
            <w:rFonts w:cs="Calibri"/>
            <w:noProof/>
            <w:sz w:val="20"/>
            <w:szCs w:val="20"/>
          </w:rPr>
          <w:t>High Level Summary of NREL WWSIS</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_Toc260752704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2"/>
        <w:rPr>
          <w:rFonts w:ascii="Times New Roman" w:hAnsi="Times New Roman"/>
          <w:noProof/>
          <w:sz w:val="20"/>
          <w:szCs w:val="20"/>
        </w:rPr>
      </w:pPr>
      <w:hyperlink w:anchor="_Toc260752705" w:history="1">
        <w:r w:rsidRPr="0091274E">
          <w:rPr>
            <w:rStyle w:val="Hyperlink"/>
            <w:noProof/>
            <w:sz w:val="20"/>
            <w:szCs w:val="20"/>
          </w:rPr>
          <w:t>I.</w:t>
        </w:r>
        <w:r w:rsidRPr="0091274E">
          <w:rPr>
            <w:rFonts w:ascii="Times New Roman" w:hAnsi="Times New Roman"/>
            <w:noProof/>
            <w:sz w:val="20"/>
            <w:szCs w:val="20"/>
          </w:rPr>
          <w:tab/>
        </w:r>
        <w:r w:rsidRPr="0091274E">
          <w:rPr>
            <w:rStyle w:val="Hyperlink"/>
            <w:rFonts w:cs="Calibri"/>
            <w:noProof/>
            <w:sz w:val="20"/>
            <w:szCs w:val="20"/>
          </w:rPr>
          <w:t>Comparison of NREL Data with Historical Data</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_Toc260752705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1274E" w:rsidRDefault="00FF5E4C">
      <w:pPr>
        <w:pStyle w:val="TOC2"/>
        <w:rPr>
          <w:rFonts w:ascii="Times New Roman" w:hAnsi="Times New Roman"/>
          <w:noProof/>
          <w:sz w:val="20"/>
          <w:szCs w:val="20"/>
        </w:rPr>
      </w:pPr>
      <w:hyperlink w:anchor="_Toc260752706" w:history="1">
        <w:r w:rsidRPr="0091274E">
          <w:rPr>
            <w:rStyle w:val="Hyperlink"/>
            <w:noProof/>
            <w:sz w:val="20"/>
            <w:szCs w:val="20"/>
          </w:rPr>
          <w:t>J.</w:t>
        </w:r>
        <w:r w:rsidRPr="0091274E">
          <w:rPr>
            <w:rFonts w:ascii="Times New Roman" w:hAnsi="Times New Roman"/>
            <w:noProof/>
            <w:sz w:val="20"/>
            <w:szCs w:val="20"/>
          </w:rPr>
          <w:tab/>
        </w:r>
        <w:r w:rsidRPr="0091274E">
          <w:rPr>
            <w:rStyle w:val="Hyperlink"/>
            <w:rFonts w:cs="Calibri"/>
            <w:noProof/>
            <w:sz w:val="20"/>
            <w:szCs w:val="20"/>
          </w:rPr>
          <w:t>Depletion of Gorge Wind, How does SE OR, Coastal, AB wind fit in</w:t>
        </w:r>
        <w:r w:rsidRPr="0091274E">
          <w:rPr>
            <w:noProof/>
            <w:webHidden/>
            <w:sz w:val="20"/>
            <w:szCs w:val="20"/>
          </w:rPr>
          <w:tab/>
        </w:r>
        <w:r w:rsidRPr="0091274E">
          <w:rPr>
            <w:noProof/>
            <w:webHidden/>
            <w:sz w:val="20"/>
            <w:szCs w:val="20"/>
          </w:rPr>
          <w:fldChar w:fldCharType="begin"/>
        </w:r>
        <w:r w:rsidRPr="0091274E">
          <w:rPr>
            <w:noProof/>
            <w:webHidden/>
            <w:sz w:val="20"/>
            <w:szCs w:val="20"/>
          </w:rPr>
          <w:instrText xml:space="preserve"> PAGEREF _Toc260752706 \h </w:instrText>
        </w:r>
        <w:r w:rsidRPr="00BD5325">
          <w:rPr>
            <w:noProof/>
            <w:sz w:val="20"/>
            <w:szCs w:val="20"/>
          </w:rPr>
        </w:r>
        <w:r w:rsidRPr="0091274E">
          <w:rPr>
            <w:noProof/>
            <w:webHidden/>
            <w:sz w:val="20"/>
            <w:szCs w:val="20"/>
          </w:rPr>
          <w:fldChar w:fldCharType="separate"/>
        </w:r>
        <w:r>
          <w:rPr>
            <w:noProof/>
            <w:webHidden/>
            <w:sz w:val="20"/>
            <w:szCs w:val="20"/>
          </w:rPr>
          <w:t>3</w:t>
        </w:r>
        <w:r w:rsidRPr="0091274E">
          <w:rPr>
            <w:noProof/>
            <w:webHidden/>
            <w:sz w:val="20"/>
            <w:szCs w:val="20"/>
          </w:rPr>
          <w:fldChar w:fldCharType="end"/>
        </w:r>
      </w:hyperlink>
    </w:p>
    <w:p w:rsidR="00FF5E4C" w:rsidRPr="009F3361" w:rsidRDefault="00FF5E4C">
      <w:pPr>
        <w:rPr>
          <w:rFonts w:cs="Calibri"/>
          <w:color w:val="000000"/>
        </w:rPr>
      </w:pPr>
      <w:r w:rsidRPr="00796762">
        <w:rPr>
          <w:rFonts w:cs="Calibri"/>
          <w:sz w:val="20"/>
          <w:szCs w:val="20"/>
        </w:rPr>
        <w:fldChar w:fldCharType="end"/>
      </w:r>
    </w:p>
    <w:p w:rsidR="00FF5E4C" w:rsidRPr="005227C2" w:rsidRDefault="00FF5E4C" w:rsidP="005A18B7">
      <w:pPr>
        <w:pStyle w:val="Heading1"/>
        <w:numPr>
          <w:ilvl w:val="0"/>
          <w:numId w:val="1"/>
        </w:numPr>
        <w:rPr>
          <w:rFonts w:ascii="Calibri" w:hAnsi="Calibri" w:cs="Calibri"/>
          <w:color w:val="000000"/>
          <w:sz w:val="22"/>
          <w:szCs w:val="22"/>
        </w:rPr>
      </w:pPr>
      <w:r w:rsidRPr="005227C2">
        <w:rPr>
          <w:rFonts w:ascii="Calibri" w:hAnsi="Calibri" w:cs="Calibri"/>
          <w:color w:val="000000"/>
          <w:sz w:val="22"/>
          <w:szCs w:val="22"/>
        </w:rPr>
        <w:br w:type="page"/>
      </w:r>
      <w:bookmarkStart w:id="0" w:name="_Toc260752692"/>
      <w:r w:rsidRPr="005227C2">
        <w:rPr>
          <w:rFonts w:ascii="Calibri" w:hAnsi="Calibri" w:cs="Calibri"/>
          <w:color w:val="000000"/>
          <w:sz w:val="22"/>
          <w:szCs w:val="22"/>
        </w:rPr>
        <w:t>Executive Summary</w:t>
      </w:r>
      <w:bookmarkEnd w:id="0"/>
    </w:p>
    <w:p w:rsidR="00FF5E4C" w:rsidRPr="008D786D" w:rsidRDefault="00FF5E4C" w:rsidP="008D786D">
      <w:pPr>
        <w:pStyle w:val="NoSpacing"/>
      </w:pPr>
    </w:p>
    <w:p w:rsidR="00FF5E4C" w:rsidRDefault="00FF5E4C" w:rsidP="008D786D">
      <w:pPr>
        <w:pStyle w:val="NoSpacing"/>
        <w:jc w:val="both"/>
        <w:rPr>
          <w:sz w:val="20"/>
          <w:szCs w:val="20"/>
        </w:rPr>
      </w:pPr>
      <w:r>
        <w:rPr>
          <w:sz w:val="20"/>
          <w:szCs w:val="20"/>
        </w:rPr>
        <w:t>The NW Wind Integration Forum raised the issue of</w:t>
      </w:r>
      <w:r w:rsidRPr="00F527C6">
        <w:rPr>
          <w:sz w:val="20"/>
          <w:szCs w:val="20"/>
        </w:rPr>
        <w:t xml:space="preserve"> the </w:t>
      </w:r>
      <w:r>
        <w:rPr>
          <w:sz w:val="20"/>
          <w:szCs w:val="20"/>
        </w:rPr>
        <w:t xml:space="preserve">economics </w:t>
      </w:r>
      <w:r w:rsidRPr="00F527C6">
        <w:rPr>
          <w:sz w:val="20"/>
          <w:szCs w:val="20"/>
        </w:rPr>
        <w:t xml:space="preserve">of developing renewable wind resources close in to NW load centers from Columbia </w:t>
      </w:r>
      <w:r>
        <w:rPr>
          <w:sz w:val="20"/>
          <w:szCs w:val="20"/>
        </w:rPr>
        <w:t>G</w:t>
      </w:r>
      <w:r w:rsidRPr="00F527C6">
        <w:rPr>
          <w:sz w:val="20"/>
          <w:szCs w:val="20"/>
        </w:rPr>
        <w:t>orge area wind sites</w:t>
      </w:r>
      <w:r>
        <w:rPr>
          <w:sz w:val="20"/>
          <w:szCs w:val="20"/>
        </w:rPr>
        <w:t xml:space="preserve"> (local)</w:t>
      </w:r>
      <w:r w:rsidRPr="00F527C6">
        <w:rPr>
          <w:sz w:val="20"/>
          <w:szCs w:val="20"/>
        </w:rPr>
        <w:t xml:space="preserve"> </w:t>
      </w:r>
      <w:r>
        <w:rPr>
          <w:sz w:val="20"/>
          <w:szCs w:val="20"/>
        </w:rPr>
        <w:t>compared to development of</w:t>
      </w:r>
      <w:r w:rsidRPr="00F527C6">
        <w:rPr>
          <w:sz w:val="20"/>
          <w:szCs w:val="20"/>
        </w:rPr>
        <w:t xml:space="preserve"> wind resource</w:t>
      </w:r>
      <w:r>
        <w:rPr>
          <w:sz w:val="20"/>
          <w:szCs w:val="20"/>
        </w:rPr>
        <w:t xml:space="preserve"> sites</w:t>
      </w:r>
      <w:r w:rsidRPr="00F527C6">
        <w:rPr>
          <w:sz w:val="20"/>
          <w:szCs w:val="20"/>
        </w:rPr>
        <w:t xml:space="preserve"> in </w:t>
      </w:r>
      <w:smartTag w:uri="urn:schemas-microsoft-com:office:smarttags" w:element="State">
        <w:r w:rsidRPr="00F527C6">
          <w:rPr>
            <w:sz w:val="20"/>
            <w:szCs w:val="20"/>
          </w:rPr>
          <w:t>Montana</w:t>
        </w:r>
      </w:smartTag>
      <w:r w:rsidRPr="00F527C6">
        <w:rPr>
          <w:sz w:val="20"/>
          <w:szCs w:val="20"/>
        </w:rPr>
        <w:t xml:space="preserve"> and </w:t>
      </w:r>
      <w:smartTag w:uri="urn:schemas-microsoft-com:office:smarttags" w:element="place">
        <w:smartTag w:uri="urn:schemas-microsoft-com:office:smarttags" w:element="State">
          <w:r w:rsidRPr="00F527C6">
            <w:rPr>
              <w:sz w:val="20"/>
              <w:szCs w:val="20"/>
            </w:rPr>
            <w:t>Wyoming</w:t>
          </w:r>
        </w:smartTag>
      </w:smartTag>
      <w:r>
        <w:rPr>
          <w:sz w:val="20"/>
          <w:szCs w:val="20"/>
        </w:rPr>
        <w:t xml:space="preserve"> (remote)</w:t>
      </w:r>
      <w:r w:rsidRPr="00BE5514">
        <w:rPr>
          <w:sz w:val="20"/>
          <w:szCs w:val="20"/>
        </w:rPr>
        <w:t xml:space="preserve"> </w:t>
      </w:r>
      <w:r>
        <w:rPr>
          <w:sz w:val="20"/>
          <w:szCs w:val="20"/>
        </w:rPr>
        <w:t>using sites</w:t>
      </w:r>
      <w:r w:rsidRPr="00F527C6">
        <w:rPr>
          <w:sz w:val="20"/>
          <w:szCs w:val="20"/>
        </w:rPr>
        <w:t xml:space="preserve"> identified </w:t>
      </w:r>
      <w:r>
        <w:rPr>
          <w:sz w:val="20"/>
          <w:szCs w:val="20"/>
        </w:rPr>
        <w:t>in</w:t>
      </w:r>
      <w:r w:rsidRPr="00F527C6">
        <w:rPr>
          <w:sz w:val="20"/>
          <w:szCs w:val="20"/>
        </w:rPr>
        <w:t xml:space="preserve"> the WREZ process.  The </w:t>
      </w:r>
      <w:r>
        <w:rPr>
          <w:sz w:val="20"/>
          <w:szCs w:val="20"/>
        </w:rPr>
        <w:t>approach</w:t>
      </w:r>
      <w:r w:rsidRPr="00F527C6">
        <w:rPr>
          <w:sz w:val="20"/>
          <w:szCs w:val="20"/>
        </w:rPr>
        <w:t xml:space="preserve"> was to estimate the full delivered cost of the two types of wind resources - costs including wind turbines, collector systems, transmission, and ancillary services</w:t>
      </w:r>
      <w:r>
        <w:rPr>
          <w:sz w:val="20"/>
          <w:szCs w:val="20"/>
        </w:rPr>
        <w:t xml:space="preserve"> and to see whether the higher capacity factors and higher wind quality of the remote sources would offset the increased transmission cost necessary to access them.</w:t>
      </w:r>
    </w:p>
    <w:p w:rsidR="00FF5E4C" w:rsidRPr="00F527C6" w:rsidRDefault="00FF5E4C" w:rsidP="008D786D">
      <w:pPr>
        <w:pStyle w:val="NoSpacing"/>
        <w:jc w:val="both"/>
        <w:rPr>
          <w:sz w:val="20"/>
          <w:szCs w:val="20"/>
        </w:rPr>
      </w:pPr>
    </w:p>
    <w:p w:rsidR="00FF5E4C" w:rsidRDefault="00FF5E4C" w:rsidP="00B27E0E">
      <w:pPr>
        <w:pStyle w:val="NoSpacing"/>
        <w:jc w:val="both"/>
        <w:rPr>
          <w:sz w:val="20"/>
          <w:szCs w:val="20"/>
        </w:rPr>
      </w:pPr>
      <w:r w:rsidRPr="00F527C6">
        <w:rPr>
          <w:sz w:val="20"/>
          <w:szCs w:val="20"/>
        </w:rPr>
        <w:t xml:space="preserve">Several studies </w:t>
      </w:r>
      <w:r>
        <w:rPr>
          <w:sz w:val="20"/>
          <w:szCs w:val="20"/>
        </w:rPr>
        <w:t xml:space="preserve">relating to this issue </w:t>
      </w:r>
      <w:r w:rsidRPr="00F527C6">
        <w:rPr>
          <w:sz w:val="20"/>
          <w:szCs w:val="20"/>
        </w:rPr>
        <w:t>were performed and/or reviewed by the WIST participants.  These studies included analysis by ColumbiaGrid, I</w:t>
      </w:r>
      <w:r>
        <w:rPr>
          <w:sz w:val="20"/>
          <w:szCs w:val="20"/>
        </w:rPr>
        <w:t xml:space="preserve">daho </w:t>
      </w:r>
      <w:r w:rsidRPr="00F527C6">
        <w:rPr>
          <w:sz w:val="20"/>
          <w:szCs w:val="20"/>
        </w:rPr>
        <w:t>P</w:t>
      </w:r>
      <w:r>
        <w:rPr>
          <w:sz w:val="20"/>
          <w:szCs w:val="20"/>
        </w:rPr>
        <w:t xml:space="preserve">ower </w:t>
      </w:r>
      <w:r w:rsidRPr="00F527C6">
        <w:rPr>
          <w:sz w:val="20"/>
          <w:szCs w:val="20"/>
        </w:rPr>
        <w:t>C</w:t>
      </w:r>
      <w:r>
        <w:rPr>
          <w:sz w:val="20"/>
          <w:szCs w:val="20"/>
        </w:rPr>
        <w:t>ompany (IPC)</w:t>
      </w:r>
      <w:r w:rsidRPr="00F527C6">
        <w:rPr>
          <w:sz w:val="20"/>
          <w:szCs w:val="20"/>
        </w:rPr>
        <w:t xml:space="preserve">, </w:t>
      </w:r>
      <w:r>
        <w:rPr>
          <w:sz w:val="20"/>
          <w:szCs w:val="20"/>
        </w:rPr>
        <w:t>Lawrence Berkeley National Labs (LBNL) using the Western Renewable Energy Zones (WREZ) tool, Bonneville Power Administration (BPA), Northwest Power and Conservation Council (</w:t>
      </w:r>
      <w:r w:rsidRPr="00F527C6">
        <w:rPr>
          <w:sz w:val="20"/>
          <w:szCs w:val="20"/>
        </w:rPr>
        <w:t>NPCC</w:t>
      </w:r>
      <w:r>
        <w:rPr>
          <w:sz w:val="20"/>
          <w:szCs w:val="20"/>
        </w:rPr>
        <w:t>)</w:t>
      </w:r>
      <w:r w:rsidRPr="00F527C6">
        <w:rPr>
          <w:sz w:val="20"/>
          <w:szCs w:val="20"/>
        </w:rPr>
        <w:t xml:space="preserve">, </w:t>
      </w:r>
      <w:r>
        <w:rPr>
          <w:sz w:val="20"/>
          <w:szCs w:val="20"/>
        </w:rPr>
        <w:t xml:space="preserve">Transmission Expansion Planning Policy Committee (TEPPC) and </w:t>
      </w:r>
      <w:r w:rsidRPr="00F527C6">
        <w:rPr>
          <w:sz w:val="20"/>
          <w:szCs w:val="20"/>
        </w:rPr>
        <w:t>the Western Wind and Solar Integration Study</w:t>
      </w:r>
      <w:r>
        <w:rPr>
          <w:sz w:val="20"/>
          <w:szCs w:val="20"/>
        </w:rPr>
        <w:t xml:space="preserve"> (WWSIS).  </w:t>
      </w:r>
    </w:p>
    <w:p w:rsidR="00FF5E4C" w:rsidRPr="00F527C6" w:rsidRDefault="00FF5E4C" w:rsidP="008D786D">
      <w:pPr>
        <w:pStyle w:val="NoSpacing"/>
        <w:jc w:val="both"/>
        <w:rPr>
          <w:sz w:val="20"/>
          <w:szCs w:val="20"/>
        </w:rPr>
      </w:pPr>
    </w:p>
    <w:p w:rsidR="00FF5E4C" w:rsidRDefault="00FF5E4C" w:rsidP="008D786D">
      <w:pPr>
        <w:pStyle w:val="NoSpacing"/>
        <w:jc w:val="both"/>
        <w:rPr>
          <w:sz w:val="20"/>
          <w:szCs w:val="20"/>
        </w:rPr>
      </w:pPr>
      <w:r>
        <w:rPr>
          <w:sz w:val="20"/>
          <w:szCs w:val="20"/>
        </w:rPr>
        <w:t>The s</w:t>
      </w:r>
      <w:r w:rsidRPr="00F527C6">
        <w:rPr>
          <w:sz w:val="20"/>
          <w:szCs w:val="20"/>
        </w:rPr>
        <w:t xml:space="preserve">tudies suggested </w:t>
      </w:r>
      <w:r>
        <w:rPr>
          <w:sz w:val="20"/>
          <w:szCs w:val="20"/>
        </w:rPr>
        <w:t xml:space="preserve">the following:  </w:t>
      </w:r>
    </w:p>
    <w:p w:rsidR="00FF5E4C" w:rsidRDefault="00FF5E4C" w:rsidP="0096083D">
      <w:pPr>
        <w:pStyle w:val="NoSpacing"/>
        <w:numPr>
          <w:ilvl w:val="0"/>
          <w:numId w:val="49"/>
        </w:numPr>
        <w:jc w:val="both"/>
        <w:rPr>
          <w:sz w:val="20"/>
          <w:szCs w:val="20"/>
        </w:rPr>
      </w:pPr>
      <w:r>
        <w:rPr>
          <w:sz w:val="20"/>
          <w:szCs w:val="20"/>
        </w:rPr>
        <w:t>L</w:t>
      </w:r>
      <w:r w:rsidRPr="00F527C6">
        <w:rPr>
          <w:sz w:val="20"/>
          <w:szCs w:val="20"/>
        </w:rPr>
        <w:t xml:space="preserve">ocal development of wind </w:t>
      </w:r>
      <w:r>
        <w:rPr>
          <w:sz w:val="20"/>
          <w:szCs w:val="20"/>
        </w:rPr>
        <w:t>is</w:t>
      </w:r>
      <w:r w:rsidRPr="00F527C6">
        <w:rPr>
          <w:sz w:val="20"/>
          <w:szCs w:val="20"/>
        </w:rPr>
        <w:t xml:space="preserve"> </w:t>
      </w:r>
      <w:r w:rsidRPr="006449B8">
        <w:rPr>
          <w:sz w:val="20"/>
          <w:szCs w:val="20"/>
        </w:rPr>
        <w:t>generally</w:t>
      </w:r>
      <w:r w:rsidRPr="00F527C6">
        <w:rPr>
          <w:sz w:val="20"/>
          <w:szCs w:val="20"/>
        </w:rPr>
        <w:t xml:space="preserve"> more economic for NW coastal loads because of the large transmission costs involved for remote wind</w:t>
      </w:r>
      <w:r>
        <w:rPr>
          <w:sz w:val="20"/>
          <w:szCs w:val="20"/>
        </w:rPr>
        <w:t>.</w:t>
      </w:r>
    </w:p>
    <w:p w:rsidR="00FF5E4C" w:rsidRDefault="00FF5E4C" w:rsidP="0096083D">
      <w:pPr>
        <w:pStyle w:val="NoSpacing"/>
        <w:numPr>
          <w:ilvl w:val="0"/>
          <w:numId w:val="49"/>
        </w:numPr>
        <w:jc w:val="both"/>
        <w:rPr>
          <w:sz w:val="20"/>
          <w:szCs w:val="20"/>
        </w:rPr>
      </w:pPr>
      <w:r>
        <w:rPr>
          <w:sz w:val="20"/>
          <w:szCs w:val="20"/>
        </w:rPr>
        <w:t>R</w:t>
      </w:r>
      <w:r w:rsidRPr="00F527C6">
        <w:rPr>
          <w:sz w:val="20"/>
          <w:szCs w:val="20"/>
        </w:rPr>
        <w:t>emote wind had better capacity factors and alignment with load requirements for loads in both the eastern areas and costal load areas</w:t>
      </w:r>
      <w:r>
        <w:rPr>
          <w:sz w:val="20"/>
          <w:szCs w:val="20"/>
        </w:rPr>
        <w:t>.</w:t>
      </w:r>
    </w:p>
    <w:p w:rsidR="00FF5E4C" w:rsidRDefault="00FF5E4C" w:rsidP="0096083D">
      <w:pPr>
        <w:pStyle w:val="NoSpacing"/>
        <w:numPr>
          <w:ilvl w:val="0"/>
          <w:numId w:val="49"/>
        </w:numPr>
        <w:jc w:val="both"/>
        <w:rPr>
          <w:sz w:val="20"/>
          <w:szCs w:val="20"/>
        </w:rPr>
      </w:pPr>
      <w:r>
        <w:rPr>
          <w:sz w:val="20"/>
          <w:szCs w:val="20"/>
        </w:rPr>
        <w:t>W</w:t>
      </w:r>
      <w:r w:rsidRPr="00F527C6">
        <w:rPr>
          <w:sz w:val="20"/>
          <w:szCs w:val="20"/>
        </w:rPr>
        <w:t>hile capacity factors were different, the frequency and magnitude of variations and fast ramps</w:t>
      </w:r>
      <w:r>
        <w:rPr>
          <w:sz w:val="20"/>
          <w:szCs w:val="20"/>
        </w:rPr>
        <w:t xml:space="preserve"> within the hour and dispatch periods</w:t>
      </w:r>
      <w:r w:rsidRPr="00F527C6">
        <w:rPr>
          <w:sz w:val="20"/>
          <w:szCs w:val="20"/>
        </w:rPr>
        <w:t xml:space="preserve"> were similar in both local and remote wind areas</w:t>
      </w:r>
      <w:r>
        <w:rPr>
          <w:sz w:val="20"/>
          <w:szCs w:val="20"/>
        </w:rPr>
        <w:t xml:space="preserve"> for similar wind capacity added.</w:t>
      </w:r>
    </w:p>
    <w:p w:rsidR="00FF5E4C" w:rsidRDefault="00FF5E4C" w:rsidP="0096083D">
      <w:pPr>
        <w:pStyle w:val="NoSpacing"/>
        <w:numPr>
          <w:ilvl w:val="0"/>
          <w:numId w:val="49"/>
        </w:numPr>
        <w:jc w:val="both"/>
        <w:rPr>
          <w:sz w:val="20"/>
          <w:szCs w:val="20"/>
        </w:rPr>
      </w:pPr>
      <w:r>
        <w:rPr>
          <w:sz w:val="20"/>
          <w:szCs w:val="20"/>
        </w:rPr>
        <w:t xml:space="preserve">The relative amounts of </w:t>
      </w:r>
      <w:r w:rsidRPr="00F527C6">
        <w:rPr>
          <w:sz w:val="20"/>
          <w:szCs w:val="20"/>
        </w:rPr>
        <w:t>ancillary services requirements would be similar</w:t>
      </w:r>
      <w:r>
        <w:rPr>
          <w:sz w:val="20"/>
          <w:szCs w:val="20"/>
        </w:rPr>
        <w:t xml:space="preserve"> in various Balancing Areas with similar amounts of wind.</w:t>
      </w:r>
    </w:p>
    <w:p w:rsidR="00FF5E4C" w:rsidRPr="0038393A" w:rsidRDefault="00FF5E4C" w:rsidP="0096083D">
      <w:pPr>
        <w:pStyle w:val="NoSpacing"/>
        <w:numPr>
          <w:ilvl w:val="0"/>
          <w:numId w:val="49"/>
        </w:numPr>
        <w:jc w:val="both"/>
        <w:rPr>
          <w:sz w:val="20"/>
          <w:szCs w:val="20"/>
        </w:rPr>
      </w:pPr>
      <w:r w:rsidRPr="0038393A">
        <w:rPr>
          <w:sz w:val="20"/>
          <w:szCs w:val="20"/>
        </w:rPr>
        <w:t>Combining local and remote wind areas would result in reduced ramps both in the positive and negative direction.  This study did not analyze the transmission requirements or the changes in operations or dynamic transfers that would be required to capture the benefits in one (virtual or consolidated) BA.  Additional analysis of this benefit is needed.</w:t>
      </w:r>
    </w:p>
    <w:p w:rsidR="00FF5E4C" w:rsidRDefault="00FF5E4C" w:rsidP="0096083D">
      <w:pPr>
        <w:pStyle w:val="NoSpacing"/>
        <w:numPr>
          <w:ilvl w:val="0"/>
          <w:numId w:val="49"/>
        </w:numPr>
        <w:jc w:val="both"/>
        <w:rPr>
          <w:sz w:val="20"/>
          <w:szCs w:val="20"/>
        </w:rPr>
      </w:pPr>
      <w:r>
        <w:rPr>
          <w:sz w:val="20"/>
          <w:szCs w:val="20"/>
        </w:rPr>
        <w:t>Ancillary service requirements at remote locations</w:t>
      </w:r>
      <w:r w:rsidRPr="00F527C6">
        <w:rPr>
          <w:sz w:val="20"/>
          <w:szCs w:val="20"/>
        </w:rPr>
        <w:t xml:space="preserve"> could be an issue for remote wind unless dynamic transfer capacity </w:t>
      </w:r>
      <w:r>
        <w:rPr>
          <w:sz w:val="20"/>
          <w:szCs w:val="20"/>
        </w:rPr>
        <w:t>or other forms of increased cooperation between Balancing Areas can</w:t>
      </w:r>
      <w:r w:rsidRPr="00F527C6">
        <w:rPr>
          <w:sz w:val="20"/>
          <w:szCs w:val="20"/>
        </w:rPr>
        <w:t xml:space="preserve"> handle delivery of ancillary services.</w:t>
      </w:r>
    </w:p>
    <w:p w:rsidR="00FF5E4C" w:rsidRDefault="00FF5E4C" w:rsidP="0096083D">
      <w:pPr>
        <w:pStyle w:val="NoSpacing"/>
        <w:numPr>
          <w:ilvl w:val="0"/>
          <w:numId w:val="49"/>
        </w:numPr>
        <w:jc w:val="both"/>
        <w:rPr>
          <w:sz w:val="20"/>
          <w:szCs w:val="20"/>
        </w:rPr>
      </w:pPr>
      <w:r>
        <w:rPr>
          <w:sz w:val="20"/>
          <w:szCs w:val="20"/>
        </w:rPr>
        <w:t>E</w:t>
      </w:r>
      <w:r w:rsidRPr="00F527C6">
        <w:rPr>
          <w:sz w:val="20"/>
          <w:szCs w:val="20"/>
        </w:rPr>
        <w:t xml:space="preserve">ven with diverse </w:t>
      </w:r>
      <w:r>
        <w:rPr>
          <w:sz w:val="20"/>
          <w:szCs w:val="20"/>
        </w:rPr>
        <w:t xml:space="preserve">area </w:t>
      </w:r>
      <w:r w:rsidRPr="00F527C6">
        <w:rPr>
          <w:sz w:val="20"/>
          <w:szCs w:val="20"/>
        </w:rPr>
        <w:t>wind development</w:t>
      </w:r>
      <w:r>
        <w:rPr>
          <w:sz w:val="20"/>
          <w:szCs w:val="20"/>
        </w:rPr>
        <w:t xml:space="preserve"> increasing the average capacity factor and quality of delivered wind</w:t>
      </w:r>
      <w:r w:rsidRPr="00F527C6">
        <w:rPr>
          <w:sz w:val="20"/>
          <w:szCs w:val="20"/>
        </w:rPr>
        <w:t xml:space="preserve">, </w:t>
      </w:r>
      <w:r>
        <w:rPr>
          <w:sz w:val="20"/>
          <w:szCs w:val="20"/>
        </w:rPr>
        <w:t xml:space="preserve">considerable amounts of </w:t>
      </w:r>
      <w:r w:rsidRPr="00F527C6">
        <w:rPr>
          <w:sz w:val="20"/>
          <w:szCs w:val="20"/>
        </w:rPr>
        <w:t xml:space="preserve">supplemental fast dispatchable </w:t>
      </w:r>
      <w:r w:rsidRPr="006449B8">
        <w:rPr>
          <w:sz w:val="20"/>
          <w:szCs w:val="20"/>
        </w:rPr>
        <w:t>resources (load or generation</w:t>
      </w:r>
      <w:r>
        <w:rPr>
          <w:sz w:val="20"/>
          <w:szCs w:val="20"/>
        </w:rPr>
        <w:t>)</w:t>
      </w:r>
      <w:r w:rsidRPr="00F527C6">
        <w:rPr>
          <w:sz w:val="20"/>
          <w:szCs w:val="20"/>
        </w:rPr>
        <w:t xml:space="preserve"> will be needed along with </w:t>
      </w:r>
      <w:r>
        <w:rPr>
          <w:sz w:val="20"/>
          <w:szCs w:val="20"/>
        </w:rPr>
        <w:t xml:space="preserve">the </w:t>
      </w:r>
      <w:r w:rsidRPr="00F527C6">
        <w:rPr>
          <w:sz w:val="20"/>
          <w:szCs w:val="20"/>
        </w:rPr>
        <w:t>renewables to meet</w:t>
      </w:r>
      <w:r>
        <w:rPr>
          <w:sz w:val="20"/>
          <w:szCs w:val="20"/>
        </w:rPr>
        <w:t xml:space="preserve"> reliability</w:t>
      </w:r>
      <w:r w:rsidRPr="00F527C6">
        <w:rPr>
          <w:sz w:val="20"/>
          <w:szCs w:val="20"/>
        </w:rPr>
        <w:t xml:space="preserve"> requirements</w:t>
      </w:r>
      <w:r>
        <w:rPr>
          <w:sz w:val="20"/>
          <w:szCs w:val="20"/>
        </w:rPr>
        <w:t>.</w:t>
      </w:r>
    </w:p>
    <w:p w:rsidR="00FF5E4C" w:rsidRDefault="00FF5E4C" w:rsidP="0096083D">
      <w:pPr>
        <w:pStyle w:val="NoSpacing"/>
        <w:numPr>
          <w:ilvl w:val="0"/>
          <w:numId w:val="49"/>
        </w:numPr>
        <w:jc w:val="both"/>
        <w:rPr>
          <w:sz w:val="20"/>
          <w:szCs w:val="20"/>
        </w:rPr>
      </w:pPr>
      <w:r>
        <w:rPr>
          <w:sz w:val="20"/>
          <w:szCs w:val="20"/>
        </w:rPr>
        <w:t>Validation exercises suggested that there are some potential limitations on the interpretation of the NREL data that need to be understood and taken account of.</w:t>
      </w:r>
    </w:p>
    <w:p w:rsidR="00FF5E4C" w:rsidRDefault="00FF5E4C" w:rsidP="0096083D">
      <w:pPr>
        <w:pStyle w:val="NoSpacing"/>
        <w:numPr>
          <w:ilvl w:val="0"/>
          <w:numId w:val="49"/>
        </w:numPr>
        <w:jc w:val="both"/>
        <w:rPr>
          <w:sz w:val="20"/>
          <w:szCs w:val="20"/>
        </w:rPr>
      </w:pPr>
      <w:r>
        <w:rPr>
          <w:sz w:val="20"/>
          <w:szCs w:val="20"/>
        </w:rPr>
        <w:t>Based on time of day arbitrage value,</w:t>
      </w:r>
      <w:r w:rsidRPr="00F527C6">
        <w:rPr>
          <w:sz w:val="20"/>
          <w:szCs w:val="20"/>
        </w:rPr>
        <w:t xml:space="preserve"> remote energy storage </w:t>
      </w:r>
      <w:r>
        <w:rPr>
          <w:sz w:val="20"/>
          <w:szCs w:val="20"/>
        </w:rPr>
        <w:t xml:space="preserve">of renewable energy </w:t>
      </w:r>
      <w:r w:rsidRPr="00F527C6">
        <w:rPr>
          <w:sz w:val="20"/>
          <w:szCs w:val="20"/>
        </w:rPr>
        <w:t xml:space="preserve">isn't economic until very high gas prices </w:t>
      </w:r>
      <w:r>
        <w:rPr>
          <w:sz w:val="20"/>
          <w:szCs w:val="20"/>
        </w:rPr>
        <w:t xml:space="preserve">for supplemental energy at the receiving end </w:t>
      </w:r>
      <w:r w:rsidRPr="00F527C6">
        <w:rPr>
          <w:sz w:val="20"/>
          <w:szCs w:val="20"/>
        </w:rPr>
        <w:t xml:space="preserve">make adding storage and shaping </w:t>
      </w:r>
      <w:r>
        <w:rPr>
          <w:sz w:val="20"/>
          <w:szCs w:val="20"/>
        </w:rPr>
        <w:t>of</w:t>
      </w:r>
      <w:r w:rsidRPr="00F527C6">
        <w:rPr>
          <w:sz w:val="20"/>
          <w:szCs w:val="20"/>
        </w:rPr>
        <w:t xml:space="preserve"> remote wind economic</w:t>
      </w:r>
      <w:r>
        <w:rPr>
          <w:sz w:val="20"/>
          <w:szCs w:val="20"/>
        </w:rPr>
        <w:t>.</w:t>
      </w:r>
    </w:p>
    <w:p w:rsidR="00FF5E4C" w:rsidRDefault="00FF5E4C" w:rsidP="008D786D">
      <w:pPr>
        <w:pStyle w:val="NoSpacing"/>
        <w:jc w:val="both"/>
        <w:rPr>
          <w:sz w:val="20"/>
          <w:szCs w:val="20"/>
        </w:rPr>
      </w:pPr>
    </w:p>
    <w:p w:rsidR="00FF5E4C" w:rsidRPr="001E56CF" w:rsidRDefault="00FF5E4C" w:rsidP="003E1543">
      <w:pPr>
        <w:pStyle w:val="NoSpacing"/>
        <w:jc w:val="both"/>
        <w:rPr>
          <w:sz w:val="20"/>
          <w:szCs w:val="20"/>
        </w:rPr>
      </w:pPr>
      <w:r w:rsidRPr="001E56CF">
        <w:rPr>
          <w:sz w:val="20"/>
          <w:szCs w:val="20"/>
        </w:rPr>
        <w:t>The only study that indicate</w:t>
      </w:r>
      <w:r>
        <w:rPr>
          <w:sz w:val="20"/>
          <w:szCs w:val="20"/>
        </w:rPr>
        <w:t>s</w:t>
      </w:r>
      <w:r w:rsidRPr="001E56CF">
        <w:rPr>
          <w:sz w:val="20"/>
          <w:szCs w:val="20"/>
        </w:rPr>
        <w:t xml:space="preserve"> that </w:t>
      </w:r>
      <w:r>
        <w:rPr>
          <w:sz w:val="20"/>
          <w:szCs w:val="20"/>
        </w:rPr>
        <w:t>remote wind is more economic tha</w:t>
      </w:r>
      <w:r w:rsidRPr="001E56CF">
        <w:rPr>
          <w:sz w:val="20"/>
          <w:szCs w:val="20"/>
        </w:rPr>
        <w:t>n local PNW wind development was the study done in 2009 by TEPPC.  On examination it appears the differences between this study and the others can be explained by the relative assumptions, development timing, modeling methods used and study objectives.  All of the studies provide useful results to inform decisions on wind development.  Future TEPPC studies should bring additional clarity.</w:t>
      </w:r>
    </w:p>
    <w:p w:rsidR="00FF5E4C" w:rsidRDefault="00FF5E4C" w:rsidP="008D786D">
      <w:pPr>
        <w:pStyle w:val="NoSpacing"/>
        <w:jc w:val="both"/>
        <w:rPr>
          <w:sz w:val="20"/>
          <w:szCs w:val="20"/>
        </w:rPr>
      </w:pPr>
    </w:p>
    <w:p w:rsidR="00FF5E4C" w:rsidRDefault="00FF5E4C" w:rsidP="00480FB3">
      <w:pPr>
        <w:pStyle w:val="NoSpacing"/>
        <w:jc w:val="both"/>
        <w:rPr>
          <w:sz w:val="20"/>
          <w:szCs w:val="20"/>
        </w:rPr>
      </w:pPr>
      <w:r>
        <w:rPr>
          <w:sz w:val="20"/>
          <w:szCs w:val="20"/>
        </w:rPr>
        <w:t>There are also several caveats to the various studies that need to be highlighted:</w:t>
      </w:r>
    </w:p>
    <w:p w:rsidR="00FF5E4C" w:rsidRDefault="00FF5E4C" w:rsidP="0096083D">
      <w:pPr>
        <w:pStyle w:val="NoSpacing"/>
        <w:numPr>
          <w:ilvl w:val="0"/>
          <w:numId w:val="40"/>
        </w:numPr>
        <w:jc w:val="both"/>
        <w:rPr>
          <w:sz w:val="20"/>
          <w:szCs w:val="20"/>
        </w:rPr>
      </w:pPr>
      <w:r w:rsidRPr="00F527C6">
        <w:rPr>
          <w:sz w:val="20"/>
          <w:szCs w:val="20"/>
        </w:rPr>
        <w:t xml:space="preserve">The studies included </w:t>
      </w:r>
      <w:r>
        <w:rPr>
          <w:sz w:val="20"/>
          <w:szCs w:val="20"/>
        </w:rPr>
        <w:t>estimated</w:t>
      </w:r>
      <w:r w:rsidRPr="00F527C6">
        <w:rPr>
          <w:sz w:val="20"/>
          <w:szCs w:val="20"/>
        </w:rPr>
        <w:t xml:space="preserve"> cost adder</w:t>
      </w:r>
      <w:r>
        <w:rPr>
          <w:sz w:val="20"/>
          <w:szCs w:val="20"/>
        </w:rPr>
        <w:t>s</w:t>
      </w:r>
      <w:r w:rsidRPr="00F527C6">
        <w:rPr>
          <w:sz w:val="20"/>
          <w:szCs w:val="20"/>
        </w:rPr>
        <w:t xml:space="preserve"> to represent the cost of integration (regulation, ancillary services, load following).  However these</w:t>
      </w:r>
      <w:r>
        <w:rPr>
          <w:sz w:val="20"/>
          <w:szCs w:val="20"/>
        </w:rPr>
        <w:t xml:space="preserve"> studies did not determine exact amounts or types of ancillary services needed.</w:t>
      </w:r>
    </w:p>
    <w:p w:rsidR="00FF5E4C" w:rsidRDefault="00FF5E4C" w:rsidP="0096083D">
      <w:pPr>
        <w:pStyle w:val="NoSpacing"/>
        <w:numPr>
          <w:ilvl w:val="0"/>
          <w:numId w:val="40"/>
        </w:numPr>
        <w:jc w:val="both"/>
        <w:rPr>
          <w:sz w:val="20"/>
          <w:szCs w:val="20"/>
        </w:rPr>
      </w:pPr>
      <w:r>
        <w:rPr>
          <w:sz w:val="20"/>
          <w:szCs w:val="20"/>
        </w:rPr>
        <w:t>Most of the studies also did not consider impacts on markets and prices in control areas with high concentrations of variable generation.</w:t>
      </w:r>
    </w:p>
    <w:p w:rsidR="00FF5E4C" w:rsidRDefault="00FF5E4C" w:rsidP="0096083D">
      <w:pPr>
        <w:pStyle w:val="NoSpacing"/>
        <w:numPr>
          <w:ilvl w:val="0"/>
          <w:numId w:val="40"/>
        </w:numPr>
        <w:jc w:val="both"/>
        <w:rPr>
          <w:sz w:val="20"/>
          <w:szCs w:val="20"/>
        </w:rPr>
      </w:pPr>
      <w:r>
        <w:rPr>
          <w:sz w:val="20"/>
          <w:szCs w:val="20"/>
        </w:rPr>
        <w:t>These studies were not intended to determine the overall need for local or remote resources.  They suggest that remote resources requiring transmission would be more expensive than the local resources.  This was not a resource study to determine if adequate resources were available in any one area to meet all RPS requirements.  The studies</w:t>
      </w:r>
      <w:r w:rsidRPr="00F527C6">
        <w:rPr>
          <w:sz w:val="20"/>
          <w:szCs w:val="20"/>
        </w:rPr>
        <w:t xml:space="preserve"> did not</w:t>
      </w:r>
      <w:r>
        <w:rPr>
          <w:sz w:val="20"/>
          <w:szCs w:val="20"/>
        </w:rPr>
        <w:t xml:space="preserve"> address inter-regional competition for the most attractive resources nor did they</w:t>
      </w:r>
      <w:r w:rsidRPr="00F527C6">
        <w:rPr>
          <w:sz w:val="20"/>
          <w:szCs w:val="20"/>
        </w:rPr>
        <w:t xml:space="preserve"> determine when local wind sites might be depleted forcing development of more remote wind </w:t>
      </w:r>
      <w:r>
        <w:rPr>
          <w:sz w:val="20"/>
          <w:szCs w:val="20"/>
        </w:rPr>
        <w:t>as might be required to meet</w:t>
      </w:r>
      <w:r w:rsidRPr="00F527C6">
        <w:rPr>
          <w:sz w:val="20"/>
          <w:szCs w:val="20"/>
        </w:rPr>
        <w:t xml:space="preserve"> </w:t>
      </w:r>
      <w:r>
        <w:rPr>
          <w:sz w:val="20"/>
          <w:szCs w:val="20"/>
        </w:rPr>
        <w:t>RPS</w:t>
      </w:r>
      <w:r w:rsidRPr="00F527C6">
        <w:rPr>
          <w:sz w:val="20"/>
          <w:szCs w:val="20"/>
        </w:rPr>
        <w:t xml:space="preserve"> policy decisions</w:t>
      </w:r>
      <w:r>
        <w:rPr>
          <w:sz w:val="20"/>
          <w:szCs w:val="20"/>
        </w:rPr>
        <w:t>.  This report did not incorporate off-shore wind.</w:t>
      </w:r>
    </w:p>
    <w:p w:rsidR="00FF5E4C" w:rsidRDefault="00FF5E4C" w:rsidP="0096083D">
      <w:pPr>
        <w:pStyle w:val="NoSpacing"/>
        <w:numPr>
          <w:ilvl w:val="0"/>
          <w:numId w:val="40"/>
        </w:numPr>
        <w:jc w:val="both"/>
        <w:rPr>
          <w:sz w:val="20"/>
          <w:szCs w:val="20"/>
        </w:rPr>
      </w:pPr>
      <w:r>
        <w:rPr>
          <w:sz w:val="20"/>
          <w:szCs w:val="20"/>
        </w:rPr>
        <w:t>Analysis of the full stack of storage values (arbitrage, load following, transmission load factor improvement, etc.) was not done.</w:t>
      </w:r>
    </w:p>
    <w:p w:rsidR="00FF5E4C" w:rsidRPr="001E56CF" w:rsidRDefault="00FF5E4C" w:rsidP="001E56CF">
      <w:pPr>
        <w:pStyle w:val="NoSpacing"/>
        <w:numPr>
          <w:ilvl w:val="0"/>
          <w:numId w:val="40"/>
        </w:numPr>
        <w:jc w:val="both"/>
        <w:rPr>
          <w:sz w:val="20"/>
          <w:szCs w:val="20"/>
        </w:rPr>
      </w:pPr>
      <w:r w:rsidRPr="001E56CF">
        <w:rPr>
          <w:sz w:val="20"/>
          <w:szCs w:val="20"/>
        </w:rPr>
        <w:t xml:space="preserve">This study used the generic NREL wind data and is intended to be useful to policy makers at a relatively high level and for long-range planning, not to provide support for the merits of specific projects. Planners require much better information on incremental wind quality in each region, such as the MW of capacity that can be developed within specific capacity factor ranges, locally and remotely, to reach a definitive conclusion.  The real test of what is economic to build is finding commercial support for a proposal.  </w:t>
      </w:r>
    </w:p>
    <w:p w:rsidR="00FF5E4C" w:rsidRDefault="00FF5E4C" w:rsidP="001F795A">
      <w:pPr>
        <w:pStyle w:val="NoSpacing"/>
        <w:ind w:left="720"/>
        <w:jc w:val="both"/>
        <w:rPr>
          <w:sz w:val="20"/>
          <w:szCs w:val="20"/>
        </w:rPr>
      </w:pPr>
    </w:p>
    <w:p w:rsidR="00FF5E4C" w:rsidRPr="00611CAD" w:rsidRDefault="00FF5E4C" w:rsidP="00DA7372">
      <w:pPr>
        <w:pStyle w:val="Heading1"/>
        <w:numPr>
          <w:ilvl w:val="0"/>
          <w:numId w:val="1"/>
        </w:numPr>
        <w:rPr>
          <w:rFonts w:ascii="Calibri" w:hAnsi="Calibri" w:cs="Calibri"/>
          <w:color w:val="auto"/>
          <w:sz w:val="22"/>
          <w:szCs w:val="22"/>
        </w:rPr>
      </w:pPr>
      <w:r>
        <w:rPr>
          <w:rFonts w:ascii="Calibri" w:hAnsi="Calibri" w:cs="Calibri"/>
          <w:color w:val="auto"/>
          <w:sz w:val="20"/>
          <w:szCs w:val="20"/>
        </w:rPr>
        <w:br w:type="page"/>
      </w:r>
      <w:bookmarkStart w:id="1" w:name="_Toc260752693"/>
      <w:r w:rsidRPr="00611CAD">
        <w:rPr>
          <w:rFonts w:ascii="Calibri" w:hAnsi="Calibri" w:cs="Calibri"/>
          <w:color w:val="auto"/>
          <w:sz w:val="22"/>
          <w:szCs w:val="22"/>
        </w:rPr>
        <w:t>Report</w:t>
      </w:r>
      <w:bookmarkEnd w:id="1"/>
    </w:p>
    <w:p w:rsidR="00FF5E4C" w:rsidRDefault="00FF5E4C" w:rsidP="005227C2">
      <w:pPr>
        <w:spacing w:after="0" w:line="240" w:lineRule="auto"/>
      </w:pPr>
    </w:p>
    <w:p w:rsidR="00FF5E4C" w:rsidRDefault="00FF5E4C" w:rsidP="00582E9B">
      <w:pPr>
        <w:pStyle w:val="NoSpacing"/>
        <w:jc w:val="both"/>
        <w:rPr>
          <w:sz w:val="20"/>
          <w:szCs w:val="20"/>
        </w:rPr>
      </w:pPr>
      <w:r w:rsidRPr="00F527C6">
        <w:rPr>
          <w:sz w:val="20"/>
          <w:szCs w:val="20"/>
        </w:rPr>
        <w:t xml:space="preserve">Several studies </w:t>
      </w:r>
      <w:r>
        <w:rPr>
          <w:sz w:val="20"/>
          <w:szCs w:val="20"/>
        </w:rPr>
        <w:t xml:space="preserve">relating to this issue </w:t>
      </w:r>
      <w:r w:rsidRPr="00F527C6">
        <w:rPr>
          <w:sz w:val="20"/>
          <w:szCs w:val="20"/>
        </w:rPr>
        <w:t>were performed and/or reviewed by the WIST participants.  These studies included analysis by ColumbiaGrid, I</w:t>
      </w:r>
      <w:r>
        <w:rPr>
          <w:sz w:val="20"/>
          <w:szCs w:val="20"/>
        </w:rPr>
        <w:t xml:space="preserve">daho </w:t>
      </w:r>
      <w:r w:rsidRPr="00F527C6">
        <w:rPr>
          <w:sz w:val="20"/>
          <w:szCs w:val="20"/>
        </w:rPr>
        <w:t>P</w:t>
      </w:r>
      <w:r>
        <w:rPr>
          <w:sz w:val="20"/>
          <w:szCs w:val="20"/>
        </w:rPr>
        <w:t xml:space="preserve">ower </w:t>
      </w:r>
      <w:r w:rsidRPr="00F527C6">
        <w:rPr>
          <w:sz w:val="20"/>
          <w:szCs w:val="20"/>
        </w:rPr>
        <w:t>C</w:t>
      </w:r>
      <w:r>
        <w:rPr>
          <w:sz w:val="20"/>
          <w:szCs w:val="20"/>
        </w:rPr>
        <w:t>ompany (IPC)</w:t>
      </w:r>
      <w:r w:rsidRPr="00F527C6">
        <w:rPr>
          <w:sz w:val="20"/>
          <w:szCs w:val="20"/>
        </w:rPr>
        <w:t xml:space="preserve">, </w:t>
      </w:r>
      <w:r>
        <w:rPr>
          <w:sz w:val="20"/>
          <w:szCs w:val="20"/>
        </w:rPr>
        <w:t>Lawrence Berkeley National Labs (LBNL) using the Western Renewable Energy Zones (WREZ) tool, Bonneville Power Administration (BPA), Northwest Power and Conservation Council (</w:t>
      </w:r>
      <w:r w:rsidRPr="00F527C6">
        <w:rPr>
          <w:sz w:val="20"/>
          <w:szCs w:val="20"/>
        </w:rPr>
        <w:t>NPCC</w:t>
      </w:r>
      <w:r>
        <w:rPr>
          <w:sz w:val="20"/>
          <w:szCs w:val="20"/>
        </w:rPr>
        <w:t>)</w:t>
      </w:r>
      <w:r w:rsidRPr="00F527C6">
        <w:rPr>
          <w:sz w:val="20"/>
          <w:szCs w:val="20"/>
        </w:rPr>
        <w:t xml:space="preserve">, </w:t>
      </w:r>
      <w:r>
        <w:rPr>
          <w:sz w:val="20"/>
          <w:szCs w:val="20"/>
        </w:rPr>
        <w:t xml:space="preserve">Transmission Expansion Planning Policy Committee (TEPPC) and </w:t>
      </w:r>
      <w:r w:rsidRPr="00F527C6">
        <w:rPr>
          <w:sz w:val="20"/>
          <w:szCs w:val="20"/>
        </w:rPr>
        <w:t>the Western Wind and Solar Integration Study</w:t>
      </w:r>
      <w:r>
        <w:rPr>
          <w:sz w:val="20"/>
          <w:szCs w:val="20"/>
        </w:rPr>
        <w:t xml:space="preserve"> (WWSIS).  </w:t>
      </w:r>
    </w:p>
    <w:p w:rsidR="00FF5E4C" w:rsidRPr="00F527C6" w:rsidRDefault="00FF5E4C" w:rsidP="004147CA">
      <w:pPr>
        <w:pStyle w:val="NoSpacing"/>
        <w:jc w:val="both"/>
        <w:rPr>
          <w:sz w:val="20"/>
          <w:szCs w:val="20"/>
        </w:rPr>
      </w:pPr>
    </w:p>
    <w:p w:rsidR="00FF5E4C" w:rsidRDefault="00FF5E4C" w:rsidP="004147CA">
      <w:pPr>
        <w:pStyle w:val="NoSpacing"/>
        <w:jc w:val="both"/>
        <w:rPr>
          <w:sz w:val="20"/>
          <w:szCs w:val="20"/>
        </w:rPr>
      </w:pPr>
      <w:r>
        <w:rPr>
          <w:sz w:val="20"/>
          <w:szCs w:val="20"/>
        </w:rPr>
        <w:t xml:space="preserve">All of the above studies except the TEPPC study </w:t>
      </w:r>
      <w:r w:rsidRPr="00F527C6">
        <w:rPr>
          <w:sz w:val="20"/>
          <w:szCs w:val="20"/>
        </w:rPr>
        <w:t xml:space="preserve"> assumed that new transmission </w:t>
      </w:r>
      <w:r>
        <w:rPr>
          <w:sz w:val="20"/>
          <w:szCs w:val="20"/>
        </w:rPr>
        <w:t xml:space="preserve">capacity </w:t>
      </w:r>
      <w:r w:rsidRPr="00F527C6">
        <w:rPr>
          <w:sz w:val="20"/>
          <w:szCs w:val="20"/>
        </w:rPr>
        <w:t xml:space="preserve">would be </w:t>
      </w:r>
      <w:r>
        <w:rPr>
          <w:sz w:val="20"/>
          <w:szCs w:val="20"/>
        </w:rPr>
        <w:t>added</w:t>
      </w:r>
      <w:r w:rsidRPr="00F527C6">
        <w:rPr>
          <w:sz w:val="20"/>
          <w:szCs w:val="20"/>
        </w:rPr>
        <w:t xml:space="preserve"> to meet </w:t>
      </w:r>
      <w:r>
        <w:rPr>
          <w:sz w:val="20"/>
          <w:szCs w:val="20"/>
        </w:rPr>
        <w:t xml:space="preserve">corresponding </w:t>
      </w:r>
      <w:r w:rsidRPr="00F527C6">
        <w:rPr>
          <w:sz w:val="20"/>
          <w:szCs w:val="20"/>
        </w:rPr>
        <w:t>new renewable</w:t>
      </w:r>
      <w:r>
        <w:rPr>
          <w:sz w:val="20"/>
          <w:szCs w:val="20"/>
        </w:rPr>
        <w:t xml:space="preserve"> resource</w:t>
      </w:r>
      <w:r w:rsidRPr="00F527C6">
        <w:rPr>
          <w:sz w:val="20"/>
          <w:szCs w:val="20"/>
        </w:rPr>
        <w:t xml:space="preserve"> capacity added</w:t>
      </w:r>
      <w:r>
        <w:rPr>
          <w:sz w:val="20"/>
          <w:szCs w:val="20"/>
        </w:rPr>
        <w:t>.</w:t>
      </w:r>
      <w:r w:rsidRPr="00F527C6">
        <w:rPr>
          <w:sz w:val="20"/>
          <w:szCs w:val="20"/>
        </w:rPr>
        <w:t xml:space="preserve">  </w:t>
      </w:r>
      <w:r>
        <w:rPr>
          <w:sz w:val="20"/>
          <w:szCs w:val="20"/>
        </w:rPr>
        <w:t>For example i</w:t>
      </w:r>
      <w:r w:rsidRPr="00F527C6">
        <w:rPr>
          <w:sz w:val="20"/>
          <w:szCs w:val="20"/>
        </w:rPr>
        <w:t xml:space="preserve">f 2000 MW of wind was added, 2000 MW of transmission was added to handle the maximum wind delivery.  For remote wind this included </w:t>
      </w:r>
      <w:r>
        <w:rPr>
          <w:sz w:val="20"/>
          <w:szCs w:val="20"/>
        </w:rPr>
        <w:t xml:space="preserve">2000 MW of </w:t>
      </w:r>
      <w:r w:rsidRPr="00F527C6">
        <w:rPr>
          <w:sz w:val="20"/>
          <w:szCs w:val="20"/>
        </w:rPr>
        <w:t xml:space="preserve">transmission from remote </w:t>
      </w:r>
      <w:r>
        <w:rPr>
          <w:sz w:val="20"/>
          <w:szCs w:val="20"/>
        </w:rPr>
        <w:t xml:space="preserve">wind WREZ sites </w:t>
      </w:r>
      <w:r w:rsidRPr="00F527C6">
        <w:rPr>
          <w:sz w:val="20"/>
          <w:szCs w:val="20"/>
        </w:rPr>
        <w:t xml:space="preserve">to </w:t>
      </w:r>
      <w:r>
        <w:rPr>
          <w:sz w:val="20"/>
          <w:szCs w:val="20"/>
        </w:rPr>
        <w:t>NW coastal load</w:t>
      </w:r>
      <w:r w:rsidRPr="00F527C6">
        <w:rPr>
          <w:sz w:val="20"/>
          <w:szCs w:val="20"/>
        </w:rPr>
        <w:t xml:space="preserve"> areas.  For local wind, this included </w:t>
      </w:r>
      <w:r>
        <w:rPr>
          <w:sz w:val="20"/>
          <w:szCs w:val="20"/>
        </w:rPr>
        <w:t xml:space="preserve">only </w:t>
      </w:r>
      <w:r w:rsidRPr="00F527C6">
        <w:rPr>
          <w:sz w:val="20"/>
          <w:szCs w:val="20"/>
        </w:rPr>
        <w:t xml:space="preserve">transmission to </w:t>
      </w:r>
      <w:r>
        <w:rPr>
          <w:sz w:val="20"/>
          <w:szCs w:val="20"/>
        </w:rPr>
        <w:t>connect</w:t>
      </w:r>
      <w:r w:rsidRPr="00F527C6">
        <w:rPr>
          <w:sz w:val="20"/>
          <w:szCs w:val="20"/>
        </w:rPr>
        <w:t xml:space="preserve"> wind to the existing system.  Comparisons were made </w:t>
      </w:r>
      <w:r>
        <w:rPr>
          <w:sz w:val="20"/>
          <w:szCs w:val="20"/>
        </w:rPr>
        <w:t>of</w:t>
      </w:r>
      <w:r w:rsidRPr="00F527C6">
        <w:rPr>
          <w:sz w:val="20"/>
          <w:szCs w:val="20"/>
        </w:rPr>
        <w:t xml:space="preserve"> the </w:t>
      </w:r>
      <w:r>
        <w:rPr>
          <w:sz w:val="20"/>
          <w:szCs w:val="20"/>
        </w:rPr>
        <w:t xml:space="preserve">full </w:t>
      </w:r>
      <w:r w:rsidRPr="00F527C6">
        <w:rPr>
          <w:sz w:val="20"/>
          <w:szCs w:val="20"/>
        </w:rPr>
        <w:t>cost to deliver the full wind capacity into the load areas.</w:t>
      </w:r>
      <w:r>
        <w:rPr>
          <w:sz w:val="20"/>
          <w:szCs w:val="20"/>
        </w:rPr>
        <w:t xml:space="preserve">  Since this assumption burdens distant wind with the full incremental cost of transmission, it effectively defines a high cost bookend that would be associated with the development and delivery of the distant wind resource while the TEPPC study defines a low cost bookend.  Cost mitigation strategies such as partial use of existing transmission systems, bulk energy storage or under sizing new transmission were not directly analyzed except indirectly by TEPPC.</w:t>
      </w:r>
    </w:p>
    <w:p w:rsidR="00FF5E4C" w:rsidRDefault="00FF5E4C" w:rsidP="004147CA">
      <w:pPr>
        <w:pStyle w:val="NoSpacing"/>
        <w:jc w:val="both"/>
        <w:rPr>
          <w:sz w:val="20"/>
          <w:szCs w:val="20"/>
        </w:rPr>
      </w:pPr>
    </w:p>
    <w:p w:rsidR="00FF5E4C" w:rsidRDefault="00FF5E4C" w:rsidP="004147CA">
      <w:pPr>
        <w:pStyle w:val="NoSpacing"/>
        <w:jc w:val="both"/>
        <w:rPr>
          <w:sz w:val="20"/>
          <w:szCs w:val="20"/>
        </w:rPr>
      </w:pPr>
      <w:r w:rsidRPr="00F527C6">
        <w:rPr>
          <w:sz w:val="20"/>
          <w:szCs w:val="20"/>
        </w:rPr>
        <w:t xml:space="preserve">Studies generally suggested that local development of wind was more economic for NW coastal loads because of the large transmission costs involved for remote wind.  The studies included </w:t>
      </w:r>
      <w:r>
        <w:rPr>
          <w:sz w:val="20"/>
          <w:szCs w:val="20"/>
        </w:rPr>
        <w:t>estimated</w:t>
      </w:r>
      <w:r w:rsidRPr="00F527C6">
        <w:rPr>
          <w:sz w:val="20"/>
          <w:szCs w:val="20"/>
        </w:rPr>
        <w:t xml:space="preserve"> cost adder</w:t>
      </w:r>
      <w:r>
        <w:rPr>
          <w:sz w:val="20"/>
          <w:szCs w:val="20"/>
        </w:rPr>
        <w:t>s</w:t>
      </w:r>
      <w:r w:rsidRPr="00F527C6">
        <w:rPr>
          <w:sz w:val="20"/>
          <w:szCs w:val="20"/>
        </w:rPr>
        <w:t xml:space="preserve"> to represent the cost of integration (regulation, ancillary services, load following).  However these</w:t>
      </w:r>
      <w:r>
        <w:rPr>
          <w:sz w:val="20"/>
          <w:szCs w:val="20"/>
        </w:rPr>
        <w:t xml:space="preserve"> studies did not determine exact amounts or types of ancillary services needed, its location or </w:t>
      </w:r>
      <w:r w:rsidRPr="00F527C6">
        <w:rPr>
          <w:sz w:val="20"/>
          <w:szCs w:val="20"/>
        </w:rPr>
        <w:t>the maximum amount of wind tha</w:t>
      </w:r>
      <w:r>
        <w:rPr>
          <w:sz w:val="20"/>
          <w:szCs w:val="20"/>
        </w:rPr>
        <w:t>t the</w:t>
      </w:r>
      <w:r w:rsidRPr="00F527C6">
        <w:rPr>
          <w:sz w:val="20"/>
          <w:szCs w:val="20"/>
        </w:rPr>
        <w:t xml:space="preserve"> NW systems could successfully integrate and balance</w:t>
      </w:r>
      <w:r>
        <w:rPr>
          <w:sz w:val="20"/>
          <w:szCs w:val="20"/>
        </w:rPr>
        <w:t xml:space="preserve"> (the "wall").</w:t>
      </w:r>
      <w:r w:rsidRPr="00F527C6">
        <w:rPr>
          <w:sz w:val="20"/>
          <w:szCs w:val="20"/>
        </w:rPr>
        <w:t xml:space="preserve"> </w:t>
      </w:r>
      <w:r>
        <w:rPr>
          <w:sz w:val="20"/>
          <w:szCs w:val="20"/>
        </w:rPr>
        <w:t>Most of the studies also did not consider impacts on markets and prices in control areas with high concentrations of variable generation</w:t>
      </w:r>
      <w:r w:rsidRPr="00F527C6">
        <w:rPr>
          <w:sz w:val="20"/>
          <w:szCs w:val="20"/>
        </w:rPr>
        <w:t>.</w:t>
      </w:r>
      <w:r>
        <w:rPr>
          <w:sz w:val="20"/>
          <w:szCs w:val="20"/>
        </w:rPr>
        <w:t xml:space="preserve">  The only one that did was the West Wide WREZ LBNL study (section A). </w:t>
      </w:r>
      <w:r w:rsidRPr="00F527C6">
        <w:rPr>
          <w:sz w:val="20"/>
          <w:szCs w:val="20"/>
        </w:rPr>
        <w:t xml:space="preserve"> They also did not</w:t>
      </w:r>
      <w:r>
        <w:rPr>
          <w:sz w:val="20"/>
          <w:szCs w:val="20"/>
        </w:rPr>
        <w:t xml:space="preserve"> address inter-regional competition for the most attractive resources nor did they</w:t>
      </w:r>
      <w:r w:rsidRPr="00F527C6">
        <w:rPr>
          <w:sz w:val="20"/>
          <w:szCs w:val="20"/>
        </w:rPr>
        <w:t xml:space="preserve"> determine when local wind sites might be depleted forcing development of more remote wind </w:t>
      </w:r>
      <w:r>
        <w:rPr>
          <w:sz w:val="20"/>
          <w:szCs w:val="20"/>
        </w:rPr>
        <w:t>as might be required to meet</w:t>
      </w:r>
      <w:r w:rsidRPr="00F527C6">
        <w:rPr>
          <w:sz w:val="20"/>
          <w:szCs w:val="20"/>
        </w:rPr>
        <w:t xml:space="preserve"> </w:t>
      </w:r>
      <w:r>
        <w:rPr>
          <w:sz w:val="20"/>
          <w:szCs w:val="20"/>
        </w:rPr>
        <w:t>RPS</w:t>
      </w:r>
      <w:r w:rsidRPr="00F527C6">
        <w:rPr>
          <w:sz w:val="20"/>
          <w:szCs w:val="20"/>
        </w:rPr>
        <w:t xml:space="preserve"> policy decisions.</w:t>
      </w:r>
      <w:r>
        <w:rPr>
          <w:sz w:val="20"/>
          <w:szCs w:val="20"/>
        </w:rPr>
        <w:t xml:space="preserve">  Off shore wind was not studied</w:t>
      </w:r>
      <w:r w:rsidRPr="00F527C6">
        <w:rPr>
          <w:sz w:val="20"/>
          <w:szCs w:val="20"/>
        </w:rPr>
        <w:t xml:space="preserve"> because of a lack of data.</w:t>
      </w:r>
    </w:p>
    <w:p w:rsidR="00FF5E4C" w:rsidRPr="00F527C6" w:rsidRDefault="00FF5E4C" w:rsidP="004147CA">
      <w:pPr>
        <w:pStyle w:val="NoSpacing"/>
        <w:jc w:val="both"/>
        <w:rPr>
          <w:sz w:val="20"/>
          <w:szCs w:val="20"/>
        </w:rPr>
      </w:pPr>
    </w:p>
    <w:p w:rsidR="00FF5E4C" w:rsidRDefault="00FF5E4C" w:rsidP="003E1543">
      <w:pPr>
        <w:pStyle w:val="NoSpacing"/>
        <w:jc w:val="both"/>
        <w:rPr>
          <w:sz w:val="20"/>
          <w:szCs w:val="20"/>
        </w:rPr>
      </w:pPr>
      <w:r w:rsidRPr="003E1543">
        <w:rPr>
          <w:sz w:val="20"/>
          <w:szCs w:val="20"/>
        </w:rPr>
        <w:t>For remote wind projects to be economic, their capacity factors must be higher than the capacity factors of local wind by an amount sufficient to cover the transmission costs and losses and to provide a risk premium to attract the additional capital.  The NREL data used in this analysis are one set of data.  This report is intended to be useful to policy makers at a relatively high level and for long-range planning, not to provide support for the merits of specific projects. Developers will require higher quality information on the MW of wind capacity that can be developed within specific capacity factor ranges, locally and remotely, and when they may be developed before they will get commercial support for the proposal.</w:t>
      </w:r>
    </w:p>
    <w:p w:rsidR="00FF5E4C" w:rsidRPr="003E1543" w:rsidRDefault="00FF5E4C" w:rsidP="003E1543">
      <w:pPr>
        <w:pStyle w:val="NoSpacing"/>
        <w:jc w:val="both"/>
        <w:rPr>
          <w:sz w:val="20"/>
          <w:szCs w:val="20"/>
        </w:rPr>
      </w:pPr>
    </w:p>
    <w:p w:rsidR="00FF5E4C" w:rsidRDefault="00FF5E4C" w:rsidP="003E1543">
      <w:pPr>
        <w:pStyle w:val="NoSpacing"/>
        <w:jc w:val="both"/>
        <w:rPr>
          <w:sz w:val="20"/>
          <w:szCs w:val="20"/>
        </w:rPr>
      </w:pPr>
      <w:r w:rsidRPr="003E1543">
        <w:rPr>
          <w:sz w:val="20"/>
          <w:szCs w:val="20"/>
        </w:rPr>
        <w:t>Further, there are significant benefits associated with wind diversity and transmission lines to decongest constrained regions or the West.  Benefits include capacity credits, lower ancillary services costs and liquid market opportunities.</w:t>
      </w:r>
    </w:p>
    <w:p w:rsidR="00FF5E4C" w:rsidRPr="003E1543" w:rsidRDefault="00FF5E4C" w:rsidP="003E1543">
      <w:pPr>
        <w:pStyle w:val="NoSpacing"/>
        <w:jc w:val="both"/>
        <w:rPr>
          <w:sz w:val="20"/>
          <w:szCs w:val="20"/>
        </w:rPr>
      </w:pPr>
    </w:p>
    <w:p w:rsidR="00FF5E4C" w:rsidRDefault="00FF5E4C" w:rsidP="004147CA">
      <w:pPr>
        <w:pStyle w:val="NoSpacing"/>
        <w:jc w:val="both"/>
        <w:rPr>
          <w:sz w:val="20"/>
          <w:szCs w:val="20"/>
        </w:rPr>
      </w:pPr>
      <w:r w:rsidRPr="00F527C6">
        <w:rPr>
          <w:sz w:val="20"/>
          <w:szCs w:val="20"/>
        </w:rPr>
        <w:t xml:space="preserve">The studies suggest that even with diverse </w:t>
      </w:r>
      <w:r>
        <w:rPr>
          <w:sz w:val="20"/>
          <w:szCs w:val="20"/>
        </w:rPr>
        <w:t xml:space="preserve">area </w:t>
      </w:r>
      <w:r w:rsidRPr="00F527C6">
        <w:rPr>
          <w:sz w:val="20"/>
          <w:szCs w:val="20"/>
        </w:rPr>
        <w:t>wind development</w:t>
      </w:r>
      <w:r>
        <w:rPr>
          <w:sz w:val="20"/>
          <w:szCs w:val="20"/>
        </w:rPr>
        <w:t xml:space="preserve"> increasing the average capacity factor and quality of delivered wind</w:t>
      </w:r>
      <w:r w:rsidRPr="00F527C6">
        <w:rPr>
          <w:sz w:val="20"/>
          <w:szCs w:val="20"/>
        </w:rPr>
        <w:t xml:space="preserve">, </w:t>
      </w:r>
      <w:r>
        <w:rPr>
          <w:sz w:val="20"/>
          <w:szCs w:val="20"/>
        </w:rPr>
        <w:t xml:space="preserve">considerable amounts of </w:t>
      </w:r>
      <w:r w:rsidRPr="00F527C6">
        <w:rPr>
          <w:sz w:val="20"/>
          <w:szCs w:val="20"/>
        </w:rPr>
        <w:t>supplemental fast dispatchable</w:t>
      </w:r>
      <w:r>
        <w:rPr>
          <w:sz w:val="20"/>
          <w:szCs w:val="20"/>
        </w:rPr>
        <w:t xml:space="preserve"> </w:t>
      </w:r>
      <w:r w:rsidRPr="006449B8">
        <w:rPr>
          <w:sz w:val="20"/>
          <w:szCs w:val="20"/>
        </w:rPr>
        <w:t>resources (load or generation</w:t>
      </w:r>
      <w:r>
        <w:rPr>
          <w:sz w:val="20"/>
          <w:szCs w:val="20"/>
        </w:rPr>
        <w:t>)</w:t>
      </w:r>
      <w:r w:rsidRPr="00F527C6">
        <w:rPr>
          <w:sz w:val="20"/>
          <w:szCs w:val="20"/>
        </w:rPr>
        <w:t xml:space="preserve"> will be needed along with </w:t>
      </w:r>
      <w:r>
        <w:rPr>
          <w:sz w:val="20"/>
          <w:szCs w:val="20"/>
        </w:rPr>
        <w:t xml:space="preserve">the </w:t>
      </w:r>
      <w:r w:rsidRPr="00F527C6">
        <w:rPr>
          <w:sz w:val="20"/>
          <w:szCs w:val="20"/>
        </w:rPr>
        <w:t>renewables to meet</w:t>
      </w:r>
      <w:r>
        <w:rPr>
          <w:sz w:val="20"/>
          <w:szCs w:val="20"/>
        </w:rPr>
        <w:t xml:space="preserve"> reliability</w:t>
      </w:r>
      <w:r w:rsidRPr="00F527C6">
        <w:rPr>
          <w:sz w:val="20"/>
          <w:szCs w:val="20"/>
        </w:rPr>
        <w:t xml:space="preserve"> requirements.  </w:t>
      </w:r>
      <w:r>
        <w:rPr>
          <w:sz w:val="20"/>
          <w:szCs w:val="20"/>
        </w:rPr>
        <w:t>S</w:t>
      </w:r>
      <w:r w:rsidRPr="00F527C6">
        <w:rPr>
          <w:sz w:val="20"/>
          <w:szCs w:val="20"/>
        </w:rPr>
        <w:t xml:space="preserve">tudies </w:t>
      </w:r>
      <w:r>
        <w:rPr>
          <w:sz w:val="20"/>
          <w:szCs w:val="20"/>
        </w:rPr>
        <w:t>completed</w:t>
      </w:r>
      <w:r w:rsidRPr="00F527C6">
        <w:rPr>
          <w:sz w:val="20"/>
          <w:szCs w:val="20"/>
        </w:rPr>
        <w:t xml:space="preserve"> by IPC indicate that</w:t>
      </w:r>
      <w:r>
        <w:rPr>
          <w:sz w:val="20"/>
          <w:szCs w:val="20"/>
        </w:rPr>
        <w:t>, based on time of day arbitrage value,</w:t>
      </w:r>
      <w:r w:rsidRPr="00F527C6">
        <w:rPr>
          <w:sz w:val="20"/>
          <w:szCs w:val="20"/>
        </w:rPr>
        <w:t xml:space="preserve"> remote energy storage </w:t>
      </w:r>
      <w:r>
        <w:rPr>
          <w:sz w:val="20"/>
          <w:szCs w:val="20"/>
        </w:rPr>
        <w:t xml:space="preserve">of renewable energy </w:t>
      </w:r>
      <w:r w:rsidRPr="00F527C6">
        <w:rPr>
          <w:sz w:val="20"/>
          <w:szCs w:val="20"/>
        </w:rPr>
        <w:t xml:space="preserve">isn't economic until very high gas prices </w:t>
      </w:r>
      <w:r>
        <w:rPr>
          <w:sz w:val="20"/>
          <w:szCs w:val="20"/>
        </w:rPr>
        <w:t xml:space="preserve">for supplemental energy at the receiving end </w:t>
      </w:r>
      <w:r w:rsidRPr="00F527C6">
        <w:rPr>
          <w:sz w:val="20"/>
          <w:szCs w:val="20"/>
        </w:rPr>
        <w:t xml:space="preserve">make adding storage and shaping </w:t>
      </w:r>
      <w:r>
        <w:rPr>
          <w:sz w:val="20"/>
          <w:szCs w:val="20"/>
        </w:rPr>
        <w:t>of</w:t>
      </w:r>
      <w:r w:rsidRPr="00F527C6">
        <w:rPr>
          <w:sz w:val="20"/>
          <w:szCs w:val="20"/>
        </w:rPr>
        <w:t xml:space="preserve"> remote wind economic.</w:t>
      </w:r>
      <w:r>
        <w:rPr>
          <w:sz w:val="20"/>
          <w:szCs w:val="20"/>
        </w:rPr>
        <w:t xml:space="preserve">  Analysis of the full stack of storage values (arbitrage, load following, transmission load factor improvement, etc.) was not done.</w:t>
      </w:r>
    </w:p>
    <w:p w:rsidR="00FF5E4C" w:rsidRPr="00F527C6" w:rsidRDefault="00FF5E4C" w:rsidP="004147CA">
      <w:pPr>
        <w:pStyle w:val="NoSpacing"/>
        <w:jc w:val="both"/>
        <w:rPr>
          <w:sz w:val="20"/>
          <w:szCs w:val="20"/>
        </w:rPr>
      </w:pPr>
    </w:p>
    <w:p w:rsidR="00FF5E4C" w:rsidRPr="001E56CF" w:rsidRDefault="00FF5E4C" w:rsidP="001E56CF">
      <w:pPr>
        <w:pStyle w:val="NoSpacing"/>
        <w:jc w:val="both"/>
        <w:rPr>
          <w:sz w:val="20"/>
          <w:szCs w:val="20"/>
        </w:rPr>
      </w:pPr>
      <w:r w:rsidRPr="001E56CF">
        <w:rPr>
          <w:sz w:val="20"/>
          <w:szCs w:val="20"/>
        </w:rPr>
        <w:t>The only study that indicate</w:t>
      </w:r>
      <w:r>
        <w:rPr>
          <w:sz w:val="20"/>
          <w:szCs w:val="20"/>
        </w:rPr>
        <w:t>s</w:t>
      </w:r>
      <w:r w:rsidRPr="001E56CF">
        <w:rPr>
          <w:sz w:val="20"/>
          <w:szCs w:val="20"/>
        </w:rPr>
        <w:t xml:space="preserve"> that remote wind is more economic then local PNW wind development was the study done in 2009 by TEPPC.  On examination it appears the differences between this study and the others can be explained by the relative assumptions, development timing, modeling methods used and study objectives.  All of the studies provide useful results to inform decisions on wind development.  Future TEPPC studies should bring additional clarity.</w:t>
      </w:r>
    </w:p>
    <w:p w:rsidR="00FF5E4C" w:rsidRDefault="00FF5E4C" w:rsidP="004147CA">
      <w:pPr>
        <w:pStyle w:val="NoSpacing"/>
        <w:jc w:val="both"/>
        <w:rPr>
          <w:sz w:val="20"/>
          <w:szCs w:val="20"/>
        </w:rPr>
      </w:pPr>
    </w:p>
    <w:p w:rsidR="00FF5E4C" w:rsidRDefault="00FF5E4C" w:rsidP="004147CA">
      <w:pPr>
        <w:pStyle w:val="NoSpacing"/>
        <w:jc w:val="both"/>
        <w:rPr>
          <w:sz w:val="20"/>
          <w:szCs w:val="20"/>
        </w:rPr>
      </w:pPr>
      <w:r w:rsidRPr="00F527C6">
        <w:rPr>
          <w:sz w:val="20"/>
          <w:szCs w:val="20"/>
        </w:rPr>
        <w:t xml:space="preserve">The TEPPC studies compared the number and costs of turbines needed to deliver RPS energy </w:t>
      </w:r>
      <w:r>
        <w:rPr>
          <w:sz w:val="20"/>
          <w:szCs w:val="20"/>
        </w:rPr>
        <w:t xml:space="preserve">(MWh) </w:t>
      </w:r>
      <w:r w:rsidRPr="00F527C6">
        <w:rPr>
          <w:sz w:val="20"/>
          <w:szCs w:val="20"/>
        </w:rPr>
        <w:t>targets into load areas.  Because the number of turbines need</w:t>
      </w:r>
      <w:r>
        <w:rPr>
          <w:sz w:val="20"/>
          <w:szCs w:val="20"/>
        </w:rPr>
        <w:t>ed</w:t>
      </w:r>
      <w:r w:rsidRPr="00F527C6">
        <w:rPr>
          <w:sz w:val="20"/>
          <w:szCs w:val="20"/>
        </w:rPr>
        <w:t xml:space="preserve"> was substantially less for wind generation in the remote areas </w:t>
      </w:r>
      <w:r>
        <w:rPr>
          <w:sz w:val="20"/>
          <w:szCs w:val="20"/>
        </w:rPr>
        <w:t>to produce the same amount of energy as the number of</w:t>
      </w:r>
      <w:r w:rsidRPr="00F527C6">
        <w:rPr>
          <w:sz w:val="20"/>
          <w:szCs w:val="20"/>
        </w:rPr>
        <w:t xml:space="preserve"> turbines for local generation, the TEPPC studies </w:t>
      </w:r>
      <w:r>
        <w:rPr>
          <w:sz w:val="20"/>
          <w:szCs w:val="20"/>
        </w:rPr>
        <w:t xml:space="preserve">calculated </w:t>
      </w:r>
      <w:r w:rsidRPr="00F527C6">
        <w:rPr>
          <w:sz w:val="20"/>
          <w:szCs w:val="20"/>
        </w:rPr>
        <w:t xml:space="preserve">that remote generation </w:t>
      </w:r>
      <w:r>
        <w:rPr>
          <w:sz w:val="20"/>
          <w:szCs w:val="20"/>
        </w:rPr>
        <w:t xml:space="preserve"> would have lower full delivered costs to coastal load areas</w:t>
      </w:r>
      <w:r w:rsidRPr="00F527C6">
        <w:rPr>
          <w:sz w:val="20"/>
          <w:szCs w:val="20"/>
        </w:rPr>
        <w:t xml:space="preserve">. </w:t>
      </w:r>
      <w:r>
        <w:rPr>
          <w:sz w:val="20"/>
          <w:szCs w:val="20"/>
        </w:rPr>
        <w:t>The other studies compared the full delivered costs on a MWh basis for similar amounts of added renewable capacity but since both calculations are driven by relative capacity factors of local vs. remote wind, they are comparable in approach (but not data, discussed below).</w:t>
      </w:r>
    </w:p>
    <w:p w:rsidR="00FF5E4C" w:rsidRDefault="00FF5E4C" w:rsidP="004147CA">
      <w:pPr>
        <w:pStyle w:val="NoSpacing"/>
        <w:jc w:val="both"/>
        <w:rPr>
          <w:sz w:val="20"/>
          <w:szCs w:val="20"/>
        </w:rPr>
      </w:pPr>
    </w:p>
    <w:p w:rsidR="00FF5E4C" w:rsidRDefault="00FF5E4C" w:rsidP="004147CA">
      <w:pPr>
        <w:pStyle w:val="NoSpacing"/>
        <w:jc w:val="both"/>
        <w:rPr>
          <w:sz w:val="20"/>
          <w:szCs w:val="20"/>
        </w:rPr>
      </w:pPr>
      <w:r>
        <w:rPr>
          <w:sz w:val="20"/>
          <w:szCs w:val="20"/>
        </w:rPr>
        <w:t>Another</w:t>
      </w:r>
      <w:r w:rsidRPr="00F527C6">
        <w:rPr>
          <w:sz w:val="20"/>
          <w:szCs w:val="20"/>
        </w:rPr>
        <w:t xml:space="preserve"> major difference was that the TEPPC studies integrated the new wind into the existing transmission system and only added new transmission</w:t>
      </w:r>
      <w:r>
        <w:rPr>
          <w:sz w:val="20"/>
          <w:szCs w:val="20"/>
        </w:rPr>
        <w:t xml:space="preserve"> that is economically justified</w:t>
      </w:r>
      <w:r w:rsidRPr="00F527C6">
        <w:rPr>
          <w:sz w:val="20"/>
          <w:szCs w:val="20"/>
        </w:rPr>
        <w:t xml:space="preserve"> to reduce </w:t>
      </w:r>
      <w:r>
        <w:rPr>
          <w:sz w:val="20"/>
          <w:szCs w:val="20"/>
        </w:rPr>
        <w:t xml:space="preserve">resulting </w:t>
      </w:r>
      <w:r w:rsidRPr="00F527C6">
        <w:rPr>
          <w:sz w:val="20"/>
          <w:szCs w:val="20"/>
        </w:rPr>
        <w:t xml:space="preserve">congestion.  The transmission needed by the TEPPC studies was approximately half of the transmission needed in the incremental studies for the same MW nameplate amount of wind turbines.  The TEPPC studies used production cost models to estimate </w:t>
      </w:r>
      <w:r>
        <w:rPr>
          <w:sz w:val="20"/>
          <w:szCs w:val="20"/>
        </w:rPr>
        <w:t xml:space="preserve">the future operation and dispatch of the system with the new wind resources and produce an </w:t>
      </w:r>
      <w:r w:rsidRPr="00F527C6">
        <w:rPr>
          <w:sz w:val="20"/>
          <w:szCs w:val="20"/>
        </w:rPr>
        <w:t xml:space="preserve">optimal dispatch </w:t>
      </w:r>
      <w:r>
        <w:rPr>
          <w:sz w:val="20"/>
          <w:szCs w:val="20"/>
        </w:rPr>
        <w:t xml:space="preserve">minimizing variable costs.  </w:t>
      </w:r>
      <w:r w:rsidRPr="00F527C6">
        <w:rPr>
          <w:sz w:val="20"/>
          <w:szCs w:val="20"/>
        </w:rPr>
        <w:t xml:space="preserve"> </w:t>
      </w:r>
      <w:r>
        <w:rPr>
          <w:sz w:val="20"/>
          <w:szCs w:val="20"/>
        </w:rPr>
        <w:t xml:space="preserve">It allows the dispatch of existing resources to change to maximize wind generation and reduce the need for fast acting supplemental </w:t>
      </w:r>
      <w:r w:rsidRPr="006449B8">
        <w:rPr>
          <w:sz w:val="20"/>
          <w:szCs w:val="20"/>
        </w:rPr>
        <w:t>resources (load or generation</w:t>
      </w:r>
      <w:r>
        <w:rPr>
          <w:sz w:val="20"/>
          <w:szCs w:val="20"/>
        </w:rPr>
        <w:t>).  Results assume that</w:t>
      </w:r>
      <w:r w:rsidRPr="00F527C6">
        <w:rPr>
          <w:sz w:val="20"/>
          <w:szCs w:val="20"/>
        </w:rPr>
        <w:t xml:space="preserve"> coal resources </w:t>
      </w:r>
      <w:r>
        <w:rPr>
          <w:sz w:val="20"/>
          <w:szCs w:val="20"/>
        </w:rPr>
        <w:t>in transmission constrained remote areas with high levels of wind can be cycled and provide ancillary services</w:t>
      </w:r>
      <w:r w:rsidRPr="00F527C6">
        <w:rPr>
          <w:sz w:val="20"/>
          <w:szCs w:val="20"/>
        </w:rPr>
        <w:t xml:space="preserve">.  The TEPPC </w:t>
      </w:r>
      <w:r>
        <w:rPr>
          <w:sz w:val="20"/>
          <w:szCs w:val="20"/>
        </w:rPr>
        <w:t xml:space="preserve">commercial </w:t>
      </w:r>
      <w:r w:rsidRPr="00F527C6">
        <w:rPr>
          <w:sz w:val="20"/>
          <w:szCs w:val="20"/>
        </w:rPr>
        <w:t>operati</w:t>
      </w:r>
      <w:r>
        <w:rPr>
          <w:sz w:val="20"/>
          <w:szCs w:val="20"/>
        </w:rPr>
        <w:t>ng</w:t>
      </w:r>
      <w:r w:rsidRPr="00F527C6">
        <w:rPr>
          <w:sz w:val="20"/>
          <w:szCs w:val="20"/>
        </w:rPr>
        <w:t xml:space="preserve"> paradigm assumes</w:t>
      </w:r>
      <w:r>
        <w:rPr>
          <w:sz w:val="20"/>
          <w:szCs w:val="20"/>
        </w:rPr>
        <w:t xml:space="preserve"> a high degree of Balancing Area cooperation and liquid and rational </w:t>
      </w:r>
      <w:r w:rsidRPr="00F527C6">
        <w:rPr>
          <w:sz w:val="20"/>
          <w:szCs w:val="20"/>
        </w:rPr>
        <w:t xml:space="preserve"> </w:t>
      </w:r>
      <w:r>
        <w:rPr>
          <w:sz w:val="20"/>
          <w:szCs w:val="20"/>
        </w:rPr>
        <w:t xml:space="preserve">markets </w:t>
      </w:r>
      <w:r w:rsidRPr="00F527C6">
        <w:rPr>
          <w:sz w:val="20"/>
          <w:szCs w:val="20"/>
        </w:rPr>
        <w:t>and does not acknowledge constraints caused by firm rights or take or pay etc. contract requirements</w:t>
      </w:r>
      <w:r>
        <w:rPr>
          <w:sz w:val="20"/>
          <w:szCs w:val="20"/>
        </w:rPr>
        <w:t xml:space="preserve"> (since they are difficult to predict in the future)</w:t>
      </w:r>
      <w:r w:rsidRPr="00F527C6">
        <w:rPr>
          <w:sz w:val="20"/>
          <w:szCs w:val="20"/>
        </w:rPr>
        <w:t>.</w:t>
      </w:r>
    </w:p>
    <w:p w:rsidR="00FF5E4C" w:rsidRDefault="00FF5E4C" w:rsidP="004147CA">
      <w:pPr>
        <w:pStyle w:val="NoSpacing"/>
        <w:jc w:val="both"/>
        <w:rPr>
          <w:sz w:val="20"/>
          <w:szCs w:val="20"/>
        </w:rPr>
      </w:pPr>
    </w:p>
    <w:p w:rsidR="00FF5E4C" w:rsidRDefault="00FF5E4C" w:rsidP="004147CA">
      <w:pPr>
        <w:pStyle w:val="NoSpacing"/>
        <w:jc w:val="both"/>
        <w:rPr>
          <w:sz w:val="20"/>
          <w:szCs w:val="20"/>
        </w:rPr>
      </w:pPr>
      <w:r>
        <w:rPr>
          <w:sz w:val="20"/>
          <w:szCs w:val="20"/>
        </w:rPr>
        <w:t xml:space="preserve">Further, </w:t>
      </w:r>
      <w:r w:rsidRPr="00F527C6">
        <w:rPr>
          <w:sz w:val="20"/>
          <w:szCs w:val="20"/>
        </w:rPr>
        <w:t xml:space="preserve">there </w:t>
      </w:r>
      <w:r>
        <w:rPr>
          <w:sz w:val="20"/>
          <w:szCs w:val="20"/>
        </w:rPr>
        <w:t>is now</w:t>
      </w:r>
      <w:r w:rsidRPr="00F527C6">
        <w:rPr>
          <w:sz w:val="20"/>
          <w:szCs w:val="20"/>
        </w:rPr>
        <w:t xml:space="preserve"> also a question about capacity factors used in the TEPPC analysis.  If more recent data </w:t>
      </w:r>
      <w:r>
        <w:rPr>
          <w:sz w:val="20"/>
          <w:szCs w:val="20"/>
        </w:rPr>
        <w:t xml:space="preserve">indicating higher capacity factors </w:t>
      </w:r>
      <w:r w:rsidRPr="00F527C6">
        <w:rPr>
          <w:sz w:val="20"/>
          <w:szCs w:val="20"/>
        </w:rPr>
        <w:t xml:space="preserve">is used for local wind, </w:t>
      </w:r>
      <w:r>
        <w:rPr>
          <w:sz w:val="20"/>
          <w:szCs w:val="20"/>
        </w:rPr>
        <w:t>new TEPPC</w:t>
      </w:r>
      <w:r w:rsidRPr="00F527C6">
        <w:rPr>
          <w:sz w:val="20"/>
          <w:szCs w:val="20"/>
        </w:rPr>
        <w:t xml:space="preserve"> results </w:t>
      </w:r>
      <w:r>
        <w:rPr>
          <w:sz w:val="20"/>
          <w:szCs w:val="20"/>
        </w:rPr>
        <w:t>become</w:t>
      </w:r>
      <w:r w:rsidRPr="00F527C6">
        <w:rPr>
          <w:sz w:val="20"/>
          <w:szCs w:val="20"/>
        </w:rPr>
        <w:t xml:space="preserve"> similar </w:t>
      </w:r>
      <w:r>
        <w:rPr>
          <w:sz w:val="20"/>
          <w:szCs w:val="20"/>
        </w:rPr>
        <w:t>to</w:t>
      </w:r>
      <w:r w:rsidRPr="00F527C6">
        <w:rPr>
          <w:sz w:val="20"/>
          <w:szCs w:val="20"/>
        </w:rPr>
        <w:t xml:space="preserve"> the other studies.</w:t>
      </w:r>
    </w:p>
    <w:p w:rsidR="00FF5E4C" w:rsidRPr="00F527C6" w:rsidRDefault="00FF5E4C" w:rsidP="004147CA">
      <w:pPr>
        <w:pStyle w:val="NoSpacing"/>
        <w:jc w:val="both"/>
        <w:rPr>
          <w:sz w:val="20"/>
          <w:szCs w:val="20"/>
        </w:rPr>
      </w:pPr>
    </w:p>
    <w:p w:rsidR="00FF5E4C" w:rsidRDefault="00FF5E4C" w:rsidP="004147CA">
      <w:pPr>
        <w:pStyle w:val="NoSpacing"/>
        <w:jc w:val="both"/>
        <w:rPr>
          <w:sz w:val="20"/>
          <w:szCs w:val="20"/>
        </w:rPr>
      </w:pPr>
      <w:r w:rsidRPr="00F527C6">
        <w:rPr>
          <w:sz w:val="20"/>
          <w:szCs w:val="20"/>
        </w:rPr>
        <w:t>The statistical studies were performed to examine the characteristics of local and remote wind.  They</w:t>
      </w:r>
      <w:r>
        <w:rPr>
          <w:sz w:val="20"/>
          <w:szCs w:val="20"/>
        </w:rPr>
        <w:t xml:space="preserve"> confirmed</w:t>
      </w:r>
      <w:r w:rsidRPr="00F527C6">
        <w:rPr>
          <w:sz w:val="20"/>
          <w:szCs w:val="20"/>
        </w:rPr>
        <w:t xml:space="preserve"> other statistical studies that </w:t>
      </w:r>
      <w:r>
        <w:rPr>
          <w:sz w:val="20"/>
          <w:szCs w:val="20"/>
        </w:rPr>
        <w:t>found</w:t>
      </w:r>
      <w:r w:rsidRPr="00F527C6">
        <w:rPr>
          <w:sz w:val="20"/>
          <w:szCs w:val="20"/>
        </w:rPr>
        <w:t xml:space="preserve"> diversity </w:t>
      </w:r>
      <w:r>
        <w:rPr>
          <w:sz w:val="20"/>
          <w:szCs w:val="20"/>
        </w:rPr>
        <w:t>between</w:t>
      </w:r>
      <w:r w:rsidRPr="00F527C6">
        <w:rPr>
          <w:sz w:val="20"/>
          <w:szCs w:val="20"/>
        </w:rPr>
        <w:t xml:space="preserve"> the various wind locations and that remote wind had better capacity factors and alignment with load requirements for loads in both the eastern areas and costal load areas.  </w:t>
      </w:r>
      <w:r>
        <w:rPr>
          <w:sz w:val="20"/>
          <w:szCs w:val="20"/>
        </w:rPr>
        <w:t>The statistical analysis indicates</w:t>
      </w:r>
      <w:r w:rsidRPr="00F527C6">
        <w:rPr>
          <w:sz w:val="20"/>
          <w:szCs w:val="20"/>
        </w:rPr>
        <w:t xml:space="preserve"> that while capacity factors were different, the frequency and magnitude of variations and fast ramps</w:t>
      </w:r>
      <w:r>
        <w:rPr>
          <w:sz w:val="20"/>
          <w:szCs w:val="20"/>
        </w:rPr>
        <w:t xml:space="preserve"> within the hour and dispatch periods</w:t>
      </w:r>
      <w:r w:rsidRPr="00F527C6">
        <w:rPr>
          <w:sz w:val="20"/>
          <w:szCs w:val="20"/>
        </w:rPr>
        <w:t xml:space="preserve"> were similar in both local and remote wind areas</w:t>
      </w:r>
      <w:r>
        <w:rPr>
          <w:sz w:val="20"/>
          <w:szCs w:val="20"/>
        </w:rPr>
        <w:t xml:space="preserve"> for similar wind capacity added</w:t>
      </w:r>
      <w:r w:rsidRPr="00F527C6">
        <w:rPr>
          <w:sz w:val="20"/>
          <w:szCs w:val="20"/>
        </w:rPr>
        <w:t xml:space="preserve">.  This suggests that </w:t>
      </w:r>
      <w:r>
        <w:rPr>
          <w:sz w:val="20"/>
          <w:szCs w:val="20"/>
        </w:rPr>
        <w:t xml:space="preserve">the </w:t>
      </w:r>
      <w:r w:rsidRPr="001620CA">
        <w:rPr>
          <w:sz w:val="20"/>
          <w:szCs w:val="20"/>
        </w:rPr>
        <w:t>relative amounts of ancillary services requirements would be similar in various Balancing Areas with similar amounts of wind and load.  There is also a concern that the impact of balancing requirements from wind is inversely proportional to the percentage of load to wind generation in a Balancing Area.</w:t>
      </w:r>
      <w:r>
        <w:rPr>
          <w:sz w:val="20"/>
          <w:szCs w:val="20"/>
        </w:rPr>
        <w:t xml:space="preserve">                          </w:t>
      </w:r>
    </w:p>
    <w:p w:rsidR="00FF5E4C" w:rsidRDefault="00FF5E4C" w:rsidP="004147CA">
      <w:pPr>
        <w:pStyle w:val="NoSpacing"/>
        <w:jc w:val="both"/>
        <w:rPr>
          <w:sz w:val="20"/>
          <w:szCs w:val="20"/>
        </w:rPr>
      </w:pPr>
    </w:p>
    <w:p w:rsidR="00FF5E4C" w:rsidRDefault="00FF5E4C" w:rsidP="004147CA">
      <w:pPr>
        <w:pStyle w:val="NoSpacing"/>
        <w:jc w:val="both"/>
        <w:rPr>
          <w:sz w:val="20"/>
          <w:szCs w:val="20"/>
        </w:rPr>
      </w:pPr>
      <w:r w:rsidRPr="00F527C6">
        <w:rPr>
          <w:sz w:val="20"/>
          <w:szCs w:val="20"/>
        </w:rPr>
        <w:t>Given the</w:t>
      </w:r>
      <w:r>
        <w:rPr>
          <w:sz w:val="20"/>
          <w:szCs w:val="20"/>
        </w:rPr>
        <w:t xml:space="preserve"> predominance of</w:t>
      </w:r>
      <w:r w:rsidRPr="00F527C6">
        <w:rPr>
          <w:sz w:val="20"/>
          <w:szCs w:val="20"/>
        </w:rPr>
        <w:t xml:space="preserve"> gas fired generation</w:t>
      </w:r>
      <w:r>
        <w:rPr>
          <w:sz w:val="20"/>
          <w:szCs w:val="20"/>
        </w:rPr>
        <w:t xml:space="preserve"> development</w:t>
      </w:r>
      <w:r w:rsidRPr="00F527C6">
        <w:rPr>
          <w:sz w:val="20"/>
          <w:szCs w:val="20"/>
        </w:rPr>
        <w:t xml:space="preserve"> closer to loads, </w:t>
      </w:r>
      <w:r>
        <w:rPr>
          <w:sz w:val="20"/>
          <w:szCs w:val="20"/>
        </w:rPr>
        <w:t>ancillary service requirements at remote locations</w:t>
      </w:r>
      <w:r w:rsidRPr="00F527C6">
        <w:rPr>
          <w:sz w:val="20"/>
          <w:szCs w:val="20"/>
        </w:rPr>
        <w:t xml:space="preserve"> could be an issue for remote wind unless dynamic transfer capacity </w:t>
      </w:r>
      <w:r>
        <w:rPr>
          <w:sz w:val="20"/>
          <w:szCs w:val="20"/>
        </w:rPr>
        <w:t>between Balancing Areas can</w:t>
      </w:r>
      <w:r w:rsidRPr="00F527C6">
        <w:rPr>
          <w:sz w:val="20"/>
          <w:szCs w:val="20"/>
        </w:rPr>
        <w:t xml:space="preserve"> handle delivery of ancillary services. </w:t>
      </w:r>
      <w:r>
        <w:rPr>
          <w:sz w:val="20"/>
          <w:szCs w:val="20"/>
        </w:rPr>
        <w:t xml:space="preserve">Through the Joint Initiative the Region is developing the Dynamic Scheduling System (DSS) infrastructure to better facilitate exchange of ancillary services between Balancing Areas.  </w:t>
      </w:r>
    </w:p>
    <w:p w:rsidR="00FF5E4C" w:rsidRDefault="00FF5E4C" w:rsidP="004147CA">
      <w:pPr>
        <w:pStyle w:val="NoSpacing"/>
        <w:jc w:val="both"/>
        <w:rPr>
          <w:sz w:val="20"/>
          <w:szCs w:val="20"/>
        </w:rPr>
      </w:pPr>
    </w:p>
    <w:p w:rsidR="00FF5E4C" w:rsidRDefault="00FF5E4C" w:rsidP="004147CA">
      <w:pPr>
        <w:spacing w:after="0" w:line="240" w:lineRule="auto"/>
        <w:jc w:val="both"/>
        <w:rPr>
          <w:sz w:val="20"/>
          <w:szCs w:val="20"/>
        </w:rPr>
      </w:pPr>
      <w:r w:rsidRPr="006449B8">
        <w:rPr>
          <w:sz w:val="20"/>
          <w:szCs w:val="20"/>
        </w:rPr>
        <w:t>All studies indicate the need for and importance of dynamic scheduling across transfer paths between and within Balancing Areas and WIST was assigned to determine the Dynamic Transfer Limits (DTLs) across limiting paths (see section D).   BPA determined a method and performed analysis to determine DTLs and WIST reviewed the methodology. Dynamic Transfer Limits recently released by BPA indicate that the DTLs may not be adequate to support integration of large amounts of wind.</w:t>
      </w:r>
    </w:p>
    <w:p w:rsidR="00FF5E4C" w:rsidRDefault="00FF5E4C" w:rsidP="004147CA">
      <w:pPr>
        <w:spacing w:after="0"/>
      </w:pPr>
    </w:p>
    <w:p w:rsidR="00FF5E4C" w:rsidRDefault="00FF5E4C" w:rsidP="004147CA">
      <w:pPr>
        <w:spacing w:after="0"/>
      </w:pPr>
    </w:p>
    <w:p w:rsidR="00FF5E4C" w:rsidRDefault="00FF5E4C" w:rsidP="00375E39">
      <w:pPr>
        <w:pStyle w:val="NoSpacing"/>
        <w:jc w:val="both"/>
        <w:rPr>
          <w:rStyle w:val="Strong"/>
        </w:rPr>
      </w:pPr>
    </w:p>
    <w:p w:rsidR="00FF5E4C" w:rsidRPr="00375E39" w:rsidRDefault="00FF5E4C" w:rsidP="00375E39">
      <w:pPr>
        <w:pStyle w:val="NoSpacing"/>
        <w:jc w:val="both"/>
        <w:rPr>
          <w:rStyle w:val="Strong"/>
        </w:rPr>
      </w:pPr>
      <w:r w:rsidRPr="00375E39">
        <w:rPr>
          <w:rStyle w:val="Strong"/>
        </w:rPr>
        <w:t>Statistical Modeling of NREL Wind Profiles</w:t>
      </w:r>
    </w:p>
    <w:p w:rsidR="00FF5E4C" w:rsidRDefault="00FF5E4C" w:rsidP="00375E39">
      <w:pPr>
        <w:pStyle w:val="NoSpacing"/>
        <w:jc w:val="both"/>
      </w:pPr>
    </w:p>
    <w:p w:rsidR="00FF5E4C" w:rsidRPr="00DE737F" w:rsidRDefault="00FF5E4C" w:rsidP="00454149">
      <w:pPr>
        <w:pStyle w:val="NoSpacing"/>
        <w:rPr>
          <w:rFonts w:cs="Calibri"/>
          <w:color w:val="000000"/>
          <w:sz w:val="20"/>
          <w:szCs w:val="20"/>
        </w:rPr>
      </w:pPr>
      <w:r w:rsidRPr="00DE737F">
        <w:rPr>
          <w:rFonts w:cs="Calibri"/>
          <w:color w:val="000000"/>
          <w:sz w:val="20"/>
          <w:szCs w:val="20"/>
        </w:rPr>
        <w:t xml:space="preserve">ColumbiaGrid staff performed an analysis to compare the diversity benefits of developing local wind resources in Oregon </w:t>
      </w:r>
      <w:r>
        <w:rPr>
          <w:rFonts w:cs="Calibri"/>
          <w:color w:val="000000"/>
          <w:sz w:val="20"/>
          <w:szCs w:val="20"/>
        </w:rPr>
        <w:t>and Washington with</w:t>
      </w:r>
      <w:r w:rsidRPr="00DE737F">
        <w:rPr>
          <w:rFonts w:cs="Calibri"/>
          <w:color w:val="000000"/>
          <w:sz w:val="20"/>
          <w:szCs w:val="20"/>
        </w:rPr>
        <w:t xml:space="preserve"> more remote resources, particularly in Montana and Wyoming</w:t>
      </w:r>
      <w:r>
        <w:rPr>
          <w:rFonts w:cs="Calibri"/>
          <w:color w:val="000000"/>
          <w:sz w:val="20"/>
          <w:szCs w:val="20"/>
        </w:rPr>
        <w:t>.  NREL</w:t>
      </w:r>
      <w:r w:rsidRPr="00DE737F">
        <w:rPr>
          <w:rFonts w:cs="Calibri"/>
          <w:color w:val="000000"/>
          <w:sz w:val="20"/>
          <w:szCs w:val="20"/>
        </w:rPr>
        <w:t xml:space="preserve"> wind power profiles</w:t>
      </w:r>
      <w:r>
        <w:rPr>
          <w:rFonts w:cs="Calibri"/>
          <w:color w:val="000000"/>
          <w:sz w:val="20"/>
          <w:szCs w:val="20"/>
        </w:rPr>
        <w:t xml:space="preserve"> that have been used in the TEPPC analysis were used</w:t>
      </w:r>
      <w:r w:rsidRPr="00DE737F">
        <w:rPr>
          <w:rFonts w:cs="Calibri"/>
          <w:color w:val="000000"/>
          <w:sz w:val="20"/>
          <w:szCs w:val="20"/>
        </w:rPr>
        <w:t>.</w:t>
      </w:r>
      <w:r>
        <w:rPr>
          <w:rFonts w:cs="Calibri"/>
          <w:color w:val="000000"/>
          <w:sz w:val="20"/>
          <w:szCs w:val="20"/>
        </w:rPr>
        <w:t xml:space="preserve">  Similar zones were combined and analyzed.  Correlations were calculated among the wind zones and between the wind zones and the 2002 NW loads.  The ramps rates and capacity credits of the wind (at 90% and 95% exceedence levels) were also calculated.</w:t>
      </w:r>
    </w:p>
    <w:p w:rsidR="00FF5E4C" w:rsidRPr="00DE737F" w:rsidRDefault="00FF5E4C" w:rsidP="00454149">
      <w:pPr>
        <w:pStyle w:val="NoSpacing"/>
        <w:ind w:firstLine="720"/>
        <w:jc w:val="center"/>
        <w:rPr>
          <w:rFonts w:cs="Calibri"/>
          <w:color w:val="000000"/>
          <w:sz w:val="20"/>
          <w:szCs w:val="20"/>
        </w:rPr>
      </w:pPr>
    </w:p>
    <w:p w:rsidR="00FF5E4C" w:rsidRPr="007F3A91" w:rsidRDefault="00FF5E4C" w:rsidP="00375E39">
      <w:pPr>
        <w:pStyle w:val="NoSpacing"/>
        <w:jc w:val="both"/>
        <w:rPr>
          <w:rFonts w:cs="Calibri"/>
          <w:color w:val="000000"/>
          <w:sz w:val="20"/>
          <w:szCs w:val="20"/>
        </w:rPr>
      </w:pPr>
      <w:r w:rsidRPr="007F3A91">
        <w:rPr>
          <w:rFonts w:cs="Calibri"/>
          <w:color w:val="000000"/>
          <w:sz w:val="20"/>
          <w:szCs w:val="20"/>
        </w:rPr>
        <w:t xml:space="preserve">Conclusions concerning economic benefits are difficult to assess as no capital or production costs are included in the </w:t>
      </w:r>
      <w:r>
        <w:rPr>
          <w:rFonts w:cs="Calibri"/>
          <w:color w:val="000000"/>
          <w:sz w:val="20"/>
          <w:szCs w:val="20"/>
        </w:rPr>
        <w:t xml:space="preserve">statistical </w:t>
      </w:r>
      <w:r w:rsidRPr="007F3A91">
        <w:rPr>
          <w:rFonts w:cs="Calibri"/>
          <w:color w:val="000000"/>
          <w:sz w:val="20"/>
          <w:szCs w:val="20"/>
        </w:rPr>
        <w:t xml:space="preserve">study.  The study does show that </w:t>
      </w:r>
      <w:r>
        <w:rPr>
          <w:rFonts w:cs="Calibri"/>
          <w:color w:val="000000"/>
          <w:sz w:val="20"/>
          <w:szCs w:val="20"/>
        </w:rPr>
        <w:t xml:space="preserve">capturing the diversity of wind areas by </w:t>
      </w:r>
      <w:r w:rsidRPr="007F3A91">
        <w:rPr>
          <w:rFonts w:cs="Calibri"/>
          <w:color w:val="000000"/>
          <w:sz w:val="20"/>
          <w:szCs w:val="20"/>
        </w:rPr>
        <w:t>combining local wind in Oregon and Washington with Montana and/or Wyoming wind will improve capacity factors and reduce ramp rates.  Improved capacity factors will presumably lead to reduced costs as fewer turbines will be required to produce the same amount of energy.</w:t>
      </w:r>
    </w:p>
    <w:p w:rsidR="00FF5E4C" w:rsidRPr="007F3A91" w:rsidRDefault="00FF5E4C" w:rsidP="00375E39">
      <w:pPr>
        <w:pStyle w:val="NoSpacing"/>
        <w:jc w:val="both"/>
        <w:rPr>
          <w:rFonts w:cs="Calibri"/>
          <w:color w:val="000000"/>
          <w:sz w:val="20"/>
          <w:szCs w:val="20"/>
        </w:rPr>
      </w:pPr>
    </w:p>
    <w:p w:rsidR="00FF5E4C" w:rsidRDefault="00FF5E4C" w:rsidP="00375E39">
      <w:pPr>
        <w:pStyle w:val="NoSpacing"/>
        <w:jc w:val="both"/>
        <w:rPr>
          <w:rFonts w:cs="Calibri"/>
          <w:color w:val="000000"/>
          <w:sz w:val="20"/>
          <w:szCs w:val="20"/>
        </w:rPr>
      </w:pPr>
      <w:r>
        <w:rPr>
          <w:rFonts w:cs="Calibri"/>
          <w:color w:val="000000"/>
          <w:sz w:val="20"/>
          <w:szCs w:val="20"/>
        </w:rPr>
        <w:t>The various individual wind areas seem to have similar frequency and relative magnitudes of within hour up and down variations.</w:t>
      </w:r>
      <w:r w:rsidRPr="007F3A91">
        <w:rPr>
          <w:rFonts w:cs="Calibri"/>
          <w:color w:val="000000"/>
          <w:sz w:val="20"/>
          <w:szCs w:val="20"/>
        </w:rPr>
        <w:t xml:space="preserve"> Overall, ramps rates were reduced when Oregon/Washington wind was combined with remote wind in Montana and Wyoming.  There were modest increases in capacity credit from combining wind generation zones.</w:t>
      </w:r>
    </w:p>
    <w:p w:rsidR="00FF5E4C" w:rsidRDefault="00FF5E4C" w:rsidP="00375E39">
      <w:pPr>
        <w:pStyle w:val="NoSpacing"/>
        <w:jc w:val="both"/>
        <w:rPr>
          <w:rFonts w:cs="Calibri"/>
          <w:color w:val="000000"/>
          <w:sz w:val="20"/>
          <w:szCs w:val="20"/>
        </w:rPr>
      </w:pPr>
    </w:p>
    <w:p w:rsidR="00FF5E4C" w:rsidRDefault="00FF5E4C" w:rsidP="00375E39">
      <w:pPr>
        <w:pStyle w:val="NoSpacing"/>
        <w:jc w:val="both"/>
        <w:rPr>
          <w:rFonts w:cs="Calibri"/>
          <w:color w:val="000000"/>
          <w:sz w:val="20"/>
          <w:szCs w:val="20"/>
        </w:rPr>
      </w:pPr>
      <w:r>
        <w:rPr>
          <w:rFonts w:cs="Calibri"/>
          <w:color w:val="000000"/>
          <w:sz w:val="20"/>
          <w:szCs w:val="20"/>
        </w:rPr>
        <w:t xml:space="preserve">The statistical study results appear to give similar conclusions to other statistical studies performed in the Western Interconnection (see Western Wind and Solar Integration Study in Section H).  </w:t>
      </w:r>
    </w:p>
    <w:p w:rsidR="00FF5E4C" w:rsidRDefault="00FF5E4C" w:rsidP="00375E39">
      <w:pPr>
        <w:pStyle w:val="NoSpacing"/>
        <w:jc w:val="both"/>
        <w:rPr>
          <w:rFonts w:cs="Calibri"/>
          <w:color w:val="000000"/>
          <w:sz w:val="20"/>
          <w:szCs w:val="20"/>
        </w:rPr>
      </w:pPr>
    </w:p>
    <w:p w:rsidR="00FF5E4C" w:rsidRPr="00C21ADC" w:rsidRDefault="00FF5E4C" w:rsidP="00375E39">
      <w:pPr>
        <w:pStyle w:val="NoSpacing"/>
        <w:jc w:val="both"/>
      </w:pPr>
      <w:r>
        <w:rPr>
          <w:rFonts w:cs="Calibri"/>
          <w:color w:val="000000"/>
          <w:sz w:val="20"/>
          <w:szCs w:val="20"/>
        </w:rPr>
        <w:t xml:space="preserve">A summary of this analysis is included in this report in Appendix B </w:t>
      </w:r>
      <w:r w:rsidRPr="007E6F42">
        <w:t>Statistical Modeling of NREL Wind Prof</w:t>
      </w:r>
      <w:r>
        <w:t xml:space="preserve">iles. </w:t>
      </w:r>
      <w:r>
        <w:rPr>
          <w:rFonts w:cs="Calibri"/>
          <w:color w:val="000000"/>
          <w:sz w:val="20"/>
          <w:szCs w:val="20"/>
        </w:rPr>
        <w:t>The full draft report describing the analysis that was done</w:t>
      </w:r>
      <w:r w:rsidRPr="00C21ADC">
        <w:rPr>
          <w:rFonts w:cs="Calibri"/>
          <w:color w:val="000000"/>
          <w:sz w:val="20"/>
          <w:szCs w:val="20"/>
        </w:rPr>
        <w:t xml:space="preserve">, titled </w:t>
      </w:r>
      <w:r w:rsidRPr="00C21ADC">
        <w:rPr>
          <w:rStyle w:val="Emphasis"/>
          <w:rFonts w:cs="Arial"/>
          <w:i w:val="0"/>
          <w:color w:val="333333"/>
          <w:sz w:val="20"/>
          <w:szCs w:val="20"/>
        </w:rPr>
        <w:t>WINDANALYSISREPORTDRAFT(2).pdf, was posted on 03-03-2010</w:t>
      </w:r>
      <w:r w:rsidRPr="00C21ADC">
        <w:rPr>
          <w:rStyle w:val="Emphasis"/>
          <w:rFonts w:cs="Arial"/>
          <w:color w:val="333333"/>
          <w:sz w:val="20"/>
          <w:szCs w:val="20"/>
        </w:rPr>
        <w:t xml:space="preserve"> </w:t>
      </w:r>
      <w:r w:rsidRPr="00C21ADC">
        <w:rPr>
          <w:rFonts w:cs="Calibri"/>
          <w:color w:val="000000"/>
          <w:sz w:val="20"/>
          <w:szCs w:val="20"/>
        </w:rPr>
        <w:t xml:space="preserve">at </w:t>
      </w:r>
      <w:hyperlink r:id="rId7" w:history="1">
        <w:r w:rsidRPr="002861B2">
          <w:rPr>
            <w:rStyle w:val="Hyperlink"/>
          </w:rPr>
          <w:t>http://www.columbiagrid.org/event-details.cfm?EventID=462&amp;fromcalendar=1</w:t>
        </w:r>
      </w:hyperlink>
      <w:r>
        <w:rPr>
          <w:rFonts w:cs="Calibri"/>
          <w:color w:val="000000"/>
          <w:sz w:val="20"/>
          <w:szCs w:val="20"/>
        </w:rPr>
        <w:t>.</w:t>
      </w:r>
    </w:p>
    <w:p w:rsidR="00FF5E4C" w:rsidRPr="007F3A91" w:rsidRDefault="00FF5E4C" w:rsidP="00375E39">
      <w:pPr>
        <w:pStyle w:val="NoSpacing"/>
        <w:jc w:val="both"/>
        <w:rPr>
          <w:rFonts w:cs="Calibri"/>
          <w:color w:val="000000"/>
          <w:sz w:val="20"/>
          <w:szCs w:val="20"/>
        </w:rPr>
      </w:pPr>
    </w:p>
    <w:p w:rsidR="00FF5E4C" w:rsidRPr="007F3A91" w:rsidRDefault="00FF5E4C" w:rsidP="00375E39">
      <w:pPr>
        <w:pStyle w:val="NoSpacing"/>
        <w:jc w:val="both"/>
        <w:rPr>
          <w:rFonts w:cs="Calibri"/>
          <w:color w:val="000000"/>
          <w:sz w:val="20"/>
          <w:szCs w:val="20"/>
        </w:rPr>
      </w:pPr>
      <w:bookmarkStart w:id="2" w:name="_GoBack"/>
      <w:bookmarkEnd w:id="2"/>
    </w:p>
    <w:p w:rsidR="00FF5E4C" w:rsidRPr="00AA478F" w:rsidRDefault="00FF5E4C" w:rsidP="0056355B">
      <w:pPr>
        <w:pStyle w:val="NoSpacing"/>
        <w:jc w:val="both"/>
        <w:rPr>
          <w:b/>
        </w:rPr>
      </w:pPr>
      <w:r w:rsidRPr="00AA478F">
        <w:rPr>
          <w:b/>
        </w:rPr>
        <w:t>Idaho Power Analysis</w:t>
      </w:r>
    </w:p>
    <w:p w:rsidR="00FF5E4C" w:rsidRPr="00585EFA" w:rsidRDefault="00FF5E4C" w:rsidP="0056355B">
      <w:pPr>
        <w:pStyle w:val="NoSpacing"/>
        <w:jc w:val="both"/>
        <w:rPr>
          <w:sz w:val="20"/>
          <w:szCs w:val="20"/>
          <w:u w:val="single"/>
        </w:rPr>
      </w:pPr>
    </w:p>
    <w:p w:rsidR="00FF5E4C" w:rsidRPr="007B734A" w:rsidRDefault="00FF5E4C" w:rsidP="0056355B">
      <w:pPr>
        <w:pStyle w:val="NoSpacing"/>
        <w:jc w:val="both"/>
        <w:rPr>
          <w:sz w:val="20"/>
          <w:szCs w:val="20"/>
        </w:rPr>
      </w:pPr>
      <w:r w:rsidRPr="007B734A">
        <w:rPr>
          <w:sz w:val="20"/>
          <w:szCs w:val="20"/>
        </w:rPr>
        <w:t xml:space="preserve">Idaho Power performed a series of studies using historic load data and NREL wind data to estimate the supplemental energy and balancing requirements for new wind generation to serve new load in Idaho.  Also Idaho performed a set of simplified system analysis to indicate the economics of remote versus local wind development as a function of transmission cost, capital and fuel cost of </w:t>
      </w:r>
      <w:r>
        <w:rPr>
          <w:sz w:val="20"/>
          <w:szCs w:val="20"/>
        </w:rPr>
        <w:t xml:space="preserve">supplemental </w:t>
      </w:r>
      <w:r w:rsidRPr="007B734A">
        <w:rPr>
          <w:sz w:val="20"/>
          <w:szCs w:val="20"/>
        </w:rPr>
        <w:t xml:space="preserve">fast </w:t>
      </w:r>
      <w:r w:rsidRPr="006449B8">
        <w:rPr>
          <w:sz w:val="20"/>
          <w:szCs w:val="20"/>
        </w:rPr>
        <w:t>dispatchable generation or load</w:t>
      </w:r>
      <w:r w:rsidRPr="007B734A">
        <w:rPr>
          <w:sz w:val="20"/>
          <w:szCs w:val="20"/>
        </w:rPr>
        <w:t xml:space="preserve"> and energy storage.</w:t>
      </w:r>
    </w:p>
    <w:p w:rsidR="00FF5E4C" w:rsidRPr="00585EFA" w:rsidRDefault="00FF5E4C" w:rsidP="0056355B">
      <w:pPr>
        <w:pStyle w:val="NoSpacing"/>
        <w:jc w:val="both"/>
        <w:rPr>
          <w:sz w:val="20"/>
          <w:szCs w:val="20"/>
          <w:u w:val="single"/>
        </w:rPr>
      </w:pPr>
    </w:p>
    <w:p w:rsidR="00FF5E4C" w:rsidRPr="00585EFA" w:rsidRDefault="00FF5E4C" w:rsidP="0056355B">
      <w:pPr>
        <w:pStyle w:val="NoSpacing"/>
        <w:jc w:val="both"/>
        <w:rPr>
          <w:sz w:val="20"/>
          <w:szCs w:val="20"/>
          <w:u w:val="single"/>
        </w:rPr>
      </w:pPr>
      <w:r w:rsidRPr="00585EFA">
        <w:rPr>
          <w:sz w:val="20"/>
          <w:szCs w:val="20"/>
          <w:u w:val="single"/>
        </w:rPr>
        <w:t>Regulation Study</w:t>
      </w:r>
    </w:p>
    <w:p w:rsidR="00FF5E4C" w:rsidRPr="00585EFA" w:rsidRDefault="00FF5E4C" w:rsidP="0056355B">
      <w:pPr>
        <w:pStyle w:val="NoSpacing"/>
        <w:jc w:val="both"/>
        <w:rPr>
          <w:sz w:val="20"/>
          <w:szCs w:val="20"/>
          <w:u w:val="single"/>
        </w:rPr>
      </w:pPr>
    </w:p>
    <w:p w:rsidR="00FF5E4C" w:rsidRPr="00585EFA" w:rsidRDefault="00FF5E4C" w:rsidP="0056355B">
      <w:pPr>
        <w:pStyle w:val="NoSpacing"/>
        <w:jc w:val="both"/>
        <w:rPr>
          <w:sz w:val="20"/>
          <w:szCs w:val="20"/>
        </w:rPr>
      </w:pPr>
      <w:r w:rsidRPr="00585EFA">
        <w:rPr>
          <w:sz w:val="20"/>
          <w:szCs w:val="20"/>
        </w:rPr>
        <w:t xml:space="preserve">Studies were completed applying historic load and wind shapes to extrapolated load levels and wind amounts to meet 1000 MW of Idaho future load growth.  A statistical analysis was done to determine the range and amounts of regulation and supplemental energy from fast dispatchable generation that would be needed to balance the projected loads.  </w:t>
      </w:r>
    </w:p>
    <w:p w:rsidR="00FF5E4C" w:rsidRPr="00585EFA" w:rsidRDefault="00FF5E4C" w:rsidP="0056355B">
      <w:pPr>
        <w:pStyle w:val="NoSpacing"/>
        <w:jc w:val="both"/>
        <w:rPr>
          <w:sz w:val="20"/>
          <w:szCs w:val="20"/>
        </w:rPr>
      </w:pPr>
    </w:p>
    <w:p w:rsidR="00FF5E4C" w:rsidRPr="00585EFA" w:rsidRDefault="00FF5E4C" w:rsidP="0056355B">
      <w:pPr>
        <w:pStyle w:val="NoSpacing"/>
        <w:jc w:val="both"/>
        <w:rPr>
          <w:sz w:val="20"/>
          <w:szCs w:val="20"/>
        </w:rPr>
      </w:pPr>
      <w:r w:rsidRPr="00585EFA">
        <w:rPr>
          <w:sz w:val="20"/>
          <w:szCs w:val="20"/>
        </w:rPr>
        <w:t xml:space="preserve">For the regulation, load following and supplemental analysis, optimistic diversity was assumed for the addition of wind into Idaho by using 1/3 of the amount of wind from each of the Wyoming, Montana, and OR/WA wind </w:t>
      </w:r>
      <w:r>
        <w:rPr>
          <w:sz w:val="20"/>
          <w:szCs w:val="20"/>
        </w:rPr>
        <w:t>renewable energy</w:t>
      </w:r>
      <w:r w:rsidRPr="00585EFA">
        <w:rPr>
          <w:sz w:val="20"/>
          <w:szCs w:val="20"/>
        </w:rPr>
        <w:t xml:space="preserve"> zones.  For this study, the cost of transmission was not in</w:t>
      </w:r>
      <w:r>
        <w:rPr>
          <w:sz w:val="20"/>
          <w:szCs w:val="20"/>
        </w:rPr>
        <w:t>cluded</w:t>
      </w:r>
      <w:r w:rsidRPr="00585EFA">
        <w:rPr>
          <w:sz w:val="20"/>
          <w:szCs w:val="20"/>
        </w:rPr>
        <w:t>.  It is assumed that the transmission to provide the wind diversity existed.</w:t>
      </w:r>
    </w:p>
    <w:p w:rsidR="00FF5E4C" w:rsidRPr="00585EFA" w:rsidRDefault="00FF5E4C" w:rsidP="0056355B">
      <w:pPr>
        <w:pStyle w:val="NoSpacing"/>
        <w:jc w:val="both"/>
        <w:rPr>
          <w:sz w:val="20"/>
          <w:szCs w:val="20"/>
        </w:rPr>
      </w:pPr>
    </w:p>
    <w:p w:rsidR="00FF5E4C" w:rsidRPr="00585EFA" w:rsidRDefault="00FF5E4C" w:rsidP="0056355B">
      <w:pPr>
        <w:pStyle w:val="NoSpacing"/>
        <w:jc w:val="both"/>
        <w:rPr>
          <w:sz w:val="20"/>
          <w:szCs w:val="20"/>
        </w:rPr>
      </w:pPr>
      <w:r w:rsidRPr="00585EFA">
        <w:rPr>
          <w:sz w:val="20"/>
          <w:szCs w:val="20"/>
        </w:rPr>
        <w:t>For this diverse wind capacity added in Idaho to match new load growth of 1000 MW in capacity, an almost equal amount of supplemental fast dispatchable generation capacity would be needed</w:t>
      </w:r>
      <w:r>
        <w:rPr>
          <w:sz w:val="20"/>
          <w:szCs w:val="20"/>
        </w:rPr>
        <w:t xml:space="preserve"> suggesting a negligible contribution of wind capacity to meeting peak loads</w:t>
      </w:r>
      <w:r w:rsidRPr="00585EFA">
        <w:rPr>
          <w:sz w:val="20"/>
          <w:szCs w:val="20"/>
        </w:rPr>
        <w:t>.</w:t>
      </w:r>
    </w:p>
    <w:p w:rsidR="00FF5E4C" w:rsidRPr="00585EFA" w:rsidRDefault="00FF5E4C" w:rsidP="0056355B">
      <w:pPr>
        <w:pStyle w:val="NoSpacing"/>
        <w:jc w:val="both"/>
        <w:rPr>
          <w:sz w:val="20"/>
          <w:szCs w:val="20"/>
        </w:rPr>
      </w:pPr>
    </w:p>
    <w:p w:rsidR="00FF5E4C" w:rsidRPr="00670951" w:rsidRDefault="00FF5E4C" w:rsidP="0056355B">
      <w:pPr>
        <w:pStyle w:val="NoSpacing"/>
        <w:jc w:val="both"/>
        <w:rPr>
          <w:sz w:val="20"/>
          <w:szCs w:val="20"/>
        </w:rPr>
      </w:pPr>
      <w:r w:rsidRPr="00585EFA">
        <w:rPr>
          <w:sz w:val="20"/>
          <w:szCs w:val="20"/>
        </w:rPr>
        <w:t xml:space="preserve">For wind additions added to meet a new annual energy requirements from an increase of 1000 MW load increase, the amount of supplemental resources could be reduced in </w:t>
      </w:r>
      <w:r w:rsidRPr="00670951">
        <w:rPr>
          <w:sz w:val="20"/>
          <w:szCs w:val="20"/>
        </w:rPr>
        <w:t>half because the wind turbine capacity to produce the required energy would increase to 1600 MW.</w:t>
      </w:r>
    </w:p>
    <w:p w:rsidR="00FF5E4C" w:rsidRPr="00585EFA" w:rsidRDefault="00FF5E4C" w:rsidP="0056355B">
      <w:pPr>
        <w:pStyle w:val="NoSpacing"/>
        <w:jc w:val="both"/>
        <w:rPr>
          <w:sz w:val="20"/>
          <w:szCs w:val="20"/>
        </w:rPr>
      </w:pPr>
    </w:p>
    <w:p w:rsidR="00FF5E4C" w:rsidRPr="00585EFA" w:rsidRDefault="00FF5E4C" w:rsidP="0056355B">
      <w:pPr>
        <w:pStyle w:val="NoSpacing"/>
        <w:jc w:val="both"/>
        <w:rPr>
          <w:rFonts w:cs="Calibri"/>
          <w:sz w:val="20"/>
          <w:szCs w:val="20"/>
        </w:rPr>
      </w:pPr>
      <w:r w:rsidRPr="00585EFA">
        <w:rPr>
          <w:rFonts w:cs="Calibri"/>
          <w:sz w:val="20"/>
          <w:szCs w:val="20"/>
        </w:rPr>
        <w:t>Regulation requirements are higher (as much as 4 times higher) for the addition of wind and load than for only load.</w:t>
      </w:r>
    </w:p>
    <w:p w:rsidR="00FF5E4C" w:rsidRPr="00585EFA" w:rsidRDefault="00FF5E4C" w:rsidP="0056355B">
      <w:pPr>
        <w:pStyle w:val="NoSpacing"/>
        <w:jc w:val="both"/>
        <w:rPr>
          <w:rFonts w:cs="Calibri"/>
          <w:sz w:val="20"/>
          <w:szCs w:val="20"/>
        </w:rPr>
      </w:pPr>
    </w:p>
    <w:p w:rsidR="00FF5E4C" w:rsidRPr="00585EFA" w:rsidRDefault="00FF5E4C" w:rsidP="0056355B">
      <w:pPr>
        <w:pStyle w:val="NoSpacing"/>
        <w:jc w:val="both"/>
        <w:rPr>
          <w:rFonts w:cs="Calibri"/>
          <w:sz w:val="20"/>
          <w:szCs w:val="20"/>
        </w:rPr>
      </w:pPr>
      <w:r w:rsidRPr="00585EFA">
        <w:rPr>
          <w:rFonts w:cs="Calibri"/>
          <w:sz w:val="20"/>
          <w:szCs w:val="20"/>
        </w:rPr>
        <w:t xml:space="preserve">Supplemental generation is required for L&amp;R balance even when wind is added to meet incremental load energy requirements because of the seasonal profiles of wind and lack of long period and amount of storage. </w:t>
      </w:r>
    </w:p>
    <w:p w:rsidR="00FF5E4C" w:rsidRPr="00585EFA" w:rsidRDefault="00FF5E4C" w:rsidP="00347137">
      <w:pPr>
        <w:pStyle w:val="NoSpacing"/>
        <w:rPr>
          <w:sz w:val="20"/>
          <w:szCs w:val="20"/>
          <w:u w:val="single"/>
        </w:rPr>
      </w:pPr>
    </w:p>
    <w:p w:rsidR="00FF5E4C" w:rsidRPr="00585EFA" w:rsidRDefault="00FF5E4C" w:rsidP="0061736D">
      <w:pPr>
        <w:pStyle w:val="NoSpacing"/>
        <w:jc w:val="both"/>
        <w:rPr>
          <w:sz w:val="20"/>
          <w:szCs w:val="20"/>
          <w:u w:val="single"/>
        </w:rPr>
      </w:pPr>
      <w:r w:rsidRPr="00585EFA">
        <w:rPr>
          <w:sz w:val="20"/>
          <w:szCs w:val="20"/>
          <w:u w:val="single"/>
        </w:rPr>
        <w:t>Transmission, Storage and Supplemental Energy Analysis</w:t>
      </w:r>
    </w:p>
    <w:p w:rsidR="00FF5E4C" w:rsidRPr="00585EFA" w:rsidRDefault="00FF5E4C" w:rsidP="0061736D">
      <w:pPr>
        <w:pStyle w:val="NoSpacing"/>
        <w:jc w:val="both"/>
        <w:rPr>
          <w:sz w:val="20"/>
          <w:szCs w:val="20"/>
        </w:rPr>
      </w:pPr>
    </w:p>
    <w:p w:rsidR="00FF5E4C" w:rsidRPr="00585EFA" w:rsidRDefault="00FF5E4C" w:rsidP="0061736D">
      <w:pPr>
        <w:pStyle w:val="NoSpacing"/>
        <w:jc w:val="both"/>
        <w:rPr>
          <w:sz w:val="20"/>
          <w:szCs w:val="20"/>
        </w:rPr>
      </w:pPr>
      <w:r w:rsidRPr="00585EFA">
        <w:rPr>
          <w:sz w:val="20"/>
          <w:szCs w:val="20"/>
        </w:rPr>
        <w:t xml:space="preserve">Idaho presented two spread sheet models to evaluate at high level the costs of different options of integrating renewables.  The models were developed to analyze the economic interaction of the cost of the wind energy and supplemental energy (including storage technologies).  These models use similar metrics for evaluating these interactions. </w:t>
      </w:r>
    </w:p>
    <w:p w:rsidR="00FF5E4C" w:rsidRPr="00585EFA" w:rsidRDefault="00FF5E4C" w:rsidP="0061736D">
      <w:pPr>
        <w:pStyle w:val="NoSpacing"/>
        <w:jc w:val="both"/>
        <w:rPr>
          <w:sz w:val="20"/>
          <w:szCs w:val="20"/>
        </w:rPr>
      </w:pPr>
    </w:p>
    <w:p w:rsidR="00FF5E4C" w:rsidRPr="00585EFA" w:rsidRDefault="00FF5E4C" w:rsidP="0061736D">
      <w:pPr>
        <w:pStyle w:val="NoSpacing"/>
        <w:jc w:val="both"/>
        <w:rPr>
          <w:sz w:val="20"/>
          <w:szCs w:val="20"/>
        </w:rPr>
      </w:pPr>
      <w:r w:rsidRPr="00585EFA">
        <w:rPr>
          <w:sz w:val="20"/>
          <w:szCs w:val="20"/>
        </w:rPr>
        <w:t xml:space="preserve">The spread sheet models analyze remote wind resources bussed together with pumped storage at a remote location and then connected by transmission to a "local" bus with load and supplemental generation (gas fired generation that can provide regulation).  Using actual resource and load data, generation and storage costs, and transmission rating/costs, Idaho compared the full delivered costs of a system with various transmission (ratings and cost) and resource alternatives with Oregon or Wyoming quality wind.  Annualized cost of </w:t>
      </w:r>
      <w:r>
        <w:rPr>
          <w:sz w:val="20"/>
          <w:szCs w:val="20"/>
        </w:rPr>
        <w:t>c</w:t>
      </w:r>
      <w:r w:rsidRPr="00585EFA">
        <w:rPr>
          <w:sz w:val="20"/>
          <w:szCs w:val="20"/>
        </w:rPr>
        <w:t xml:space="preserve">apital for </w:t>
      </w:r>
      <w:r>
        <w:rPr>
          <w:sz w:val="20"/>
          <w:szCs w:val="20"/>
        </w:rPr>
        <w:t>w</w:t>
      </w:r>
      <w:r w:rsidRPr="00585EFA">
        <w:rPr>
          <w:sz w:val="20"/>
          <w:szCs w:val="20"/>
        </w:rPr>
        <w:t xml:space="preserve">ind, </w:t>
      </w:r>
      <w:r>
        <w:rPr>
          <w:sz w:val="20"/>
          <w:szCs w:val="20"/>
        </w:rPr>
        <w:t>s</w:t>
      </w:r>
      <w:r w:rsidRPr="00585EFA">
        <w:rPr>
          <w:sz w:val="20"/>
          <w:szCs w:val="20"/>
        </w:rPr>
        <w:t xml:space="preserve">torage, </w:t>
      </w:r>
      <w:r>
        <w:rPr>
          <w:sz w:val="20"/>
          <w:szCs w:val="20"/>
        </w:rPr>
        <w:t>t</w:t>
      </w:r>
      <w:r w:rsidRPr="00585EFA">
        <w:rPr>
          <w:sz w:val="20"/>
          <w:szCs w:val="20"/>
        </w:rPr>
        <w:t xml:space="preserve">ransmission and </w:t>
      </w:r>
      <w:r>
        <w:rPr>
          <w:sz w:val="20"/>
          <w:szCs w:val="20"/>
        </w:rPr>
        <w:t>s</w:t>
      </w:r>
      <w:r w:rsidRPr="00585EFA">
        <w:rPr>
          <w:sz w:val="20"/>
          <w:szCs w:val="20"/>
        </w:rPr>
        <w:t xml:space="preserve">upplemental </w:t>
      </w:r>
      <w:r>
        <w:rPr>
          <w:sz w:val="20"/>
          <w:szCs w:val="20"/>
        </w:rPr>
        <w:t xml:space="preserve">energy </w:t>
      </w:r>
      <w:r w:rsidRPr="00585EFA">
        <w:rPr>
          <w:sz w:val="20"/>
          <w:szCs w:val="20"/>
        </w:rPr>
        <w:t xml:space="preserve">are included, as well as, the O&amp;M cost of the supplemental energy.  </w:t>
      </w:r>
      <w:r>
        <w:rPr>
          <w:sz w:val="20"/>
          <w:szCs w:val="20"/>
        </w:rPr>
        <w:t>A</w:t>
      </w:r>
      <w:r w:rsidRPr="00585EFA">
        <w:rPr>
          <w:sz w:val="20"/>
          <w:szCs w:val="20"/>
        </w:rPr>
        <w:t>n annual average delivery cost</w:t>
      </w:r>
      <w:r>
        <w:rPr>
          <w:sz w:val="20"/>
          <w:szCs w:val="20"/>
        </w:rPr>
        <w:t xml:space="preserve"> was computed for each.</w:t>
      </w:r>
    </w:p>
    <w:p w:rsidR="00FF5E4C" w:rsidRPr="00585EFA" w:rsidRDefault="00FF5E4C" w:rsidP="0061736D">
      <w:pPr>
        <w:pStyle w:val="NoSpacing"/>
        <w:jc w:val="both"/>
        <w:rPr>
          <w:sz w:val="20"/>
          <w:szCs w:val="20"/>
        </w:rPr>
      </w:pPr>
    </w:p>
    <w:p w:rsidR="00FF5E4C" w:rsidRPr="00585EFA" w:rsidRDefault="00FF5E4C" w:rsidP="0061736D">
      <w:pPr>
        <w:pStyle w:val="NoSpacing"/>
        <w:jc w:val="both"/>
        <w:rPr>
          <w:sz w:val="20"/>
          <w:szCs w:val="20"/>
        </w:rPr>
      </w:pPr>
      <w:r w:rsidRPr="00585EFA">
        <w:rPr>
          <w:sz w:val="20"/>
          <w:szCs w:val="20"/>
        </w:rPr>
        <w:t>Two analysis methods were developed and used: the Energy Content Model and Chronological Model. The Energy Content model used energy duration curves.  The Chronological model was developed to look at 10 minute dispatch periods in which an optimized dispatch was computed using the historic wind and load shapes.</w:t>
      </w:r>
    </w:p>
    <w:p w:rsidR="00FF5E4C" w:rsidRPr="00585EFA" w:rsidRDefault="00FF5E4C" w:rsidP="0061736D">
      <w:pPr>
        <w:pStyle w:val="NoSpacing"/>
        <w:jc w:val="both"/>
        <w:rPr>
          <w:sz w:val="20"/>
          <w:szCs w:val="20"/>
        </w:rPr>
      </w:pPr>
    </w:p>
    <w:p w:rsidR="00FF5E4C" w:rsidRPr="00585EFA" w:rsidRDefault="00FF5E4C" w:rsidP="0061736D">
      <w:pPr>
        <w:pStyle w:val="NoSpacing"/>
        <w:rPr>
          <w:sz w:val="20"/>
          <w:szCs w:val="20"/>
        </w:rPr>
      </w:pPr>
      <w:r w:rsidRPr="00585EFA">
        <w:rPr>
          <w:sz w:val="20"/>
          <w:szCs w:val="20"/>
        </w:rPr>
        <w:t>From these studies Idaho and WIST conclude:</w:t>
      </w:r>
    </w:p>
    <w:p w:rsidR="00FF5E4C" w:rsidRPr="007B734A" w:rsidRDefault="00FF5E4C" w:rsidP="00585EFA">
      <w:pPr>
        <w:pStyle w:val="NoSpacing"/>
        <w:numPr>
          <w:ilvl w:val="0"/>
          <w:numId w:val="21"/>
        </w:numPr>
        <w:rPr>
          <w:sz w:val="20"/>
          <w:szCs w:val="20"/>
        </w:rPr>
      </w:pPr>
      <w:r w:rsidRPr="00585EFA">
        <w:rPr>
          <w:sz w:val="20"/>
          <w:szCs w:val="20"/>
        </w:rPr>
        <w:t>There is little value</w:t>
      </w:r>
      <w:r>
        <w:rPr>
          <w:sz w:val="20"/>
          <w:szCs w:val="20"/>
        </w:rPr>
        <w:t xml:space="preserve"> in annual energy costs derived from</w:t>
      </w:r>
      <w:r w:rsidRPr="00585EFA">
        <w:rPr>
          <w:sz w:val="20"/>
          <w:szCs w:val="20"/>
        </w:rPr>
        <w:t xml:space="preserve"> storage</w:t>
      </w:r>
      <w:r>
        <w:rPr>
          <w:sz w:val="20"/>
          <w:szCs w:val="20"/>
        </w:rPr>
        <w:t xml:space="preserve"> </w:t>
      </w:r>
      <w:r w:rsidRPr="00585EFA">
        <w:rPr>
          <w:sz w:val="20"/>
          <w:szCs w:val="20"/>
        </w:rPr>
        <w:t xml:space="preserve">until </w:t>
      </w:r>
      <w:r>
        <w:rPr>
          <w:sz w:val="20"/>
          <w:szCs w:val="20"/>
        </w:rPr>
        <w:t>w</w:t>
      </w:r>
      <w:r w:rsidRPr="00585EFA">
        <w:rPr>
          <w:sz w:val="20"/>
          <w:szCs w:val="20"/>
        </w:rPr>
        <w:t xml:space="preserve">ind exceeds transmission/load and </w:t>
      </w:r>
      <w:r>
        <w:rPr>
          <w:sz w:val="20"/>
          <w:szCs w:val="20"/>
        </w:rPr>
        <w:t>s</w:t>
      </w:r>
      <w:r w:rsidRPr="007B734A">
        <w:rPr>
          <w:sz w:val="20"/>
          <w:szCs w:val="20"/>
        </w:rPr>
        <w:t>upplemental prices are high.   (Operational benefits of storage were not considered.)</w:t>
      </w:r>
    </w:p>
    <w:p w:rsidR="00FF5E4C" w:rsidRPr="007B734A" w:rsidRDefault="00FF5E4C" w:rsidP="00585EFA">
      <w:pPr>
        <w:pStyle w:val="NoSpacing"/>
        <w:numPr>
          <w:ilvl w:val="0"/>
          <w:numId w:val="21"/>
        </w:numPr>
        <w:rPr>
          <w:sz w:val="20"/>
          <w:szCs w:val="20"/>
        </w:rPr>
      </w:pPr>
      <w:r w:rsidRPr="007B734A">
        <w:rPr>
          <w:sz w:val="20"/>
          <w:szCs w:val="20"/>
        </w:rPr>
        <w:t>For the assumed transmission capacities and cost, long haul transmission to good wind is less economic than shorter distances to lower quality wind.</w:t>
      </w:r>
    </w:p>
    <w:p w:rsidR="00FF5E4C" w:rsidRDefault="00FF5E4C" w:rsidP="00FB7DE5">
      <w:pPr>
        <w:pStyle w:val="NoSpacing"/>
        <w:numPr>
          <w:ilvl w:val="0"/>
          <w:numId w:val="21"/>
        </w:numPr>
        <w:rPr>
          <w:sz w:val="20"/>
          <w:szCs w:val="20"/>
        </w:rPr>
      </w:pPr>
      <w:r>
        <w:rPr>
          <w:sz w:val="20"/>
          <w:szCs w:val="20"/>
        </w:rPr>
        <w:t xml:space="preserve">Under some conditions, it was found that the value of remote storage for remote wind using </w:t>
      </w:r>
      <w:r w:rsidRPr="00900D88">
        <w:rPr>
          <w:sz w:val="20"/>
          <w:szCs w:val="20"/>
        </w:rPr>
        <w:t xml:space="preserve">the chronologic method </w:t>
      </w:r>
      <w:r>
        <w:rPr>
          <w:sz w:val="20"/>
          <w:szCs w:val="20"/>
        </w:rPr>
        <w:t xml:space="preserve">was not significant until the value of supplemental energy </w:t>
      </w:r>
      <w:r w:rsidRPr="00900D88">
        <w:rPr>
          <w:sz w:val="20"/>
          <w:szCs w:val="20"/>
        </w:rPr>
        <w:t>approaches $80/MWh (LLH wind displacing lower cost supplemental).</w:t>
      </w:r>
    </w:p>
    <w:p w:rsidR="00FF5E4C" w:rsidRPr="007B734A" w:rsidRDefault="00FF5E4C" w:rsidP="00585EFA">
      <w:pPr>
        <w:pStyle w:val="NoSpacing"/>
        <w:numPr>
          <w:ilvl w:val="0"/>
          <w:numId w:val="21"/>
        </w:numPr>
        <w:rPr>
          <w:sz w:val="20"/>
          <w:szCs w:val="20"/>
        </w:rPr>
      </w:pPr>
      <w:r>
        <w:rPr>
          <w:sz w:val="20"/>
          <w:szCs w:val="20"/>
        </w:rPr>
        <w:t xml:space="preserve">For further definition of these models, refer to Section C. </w:t>
      </w:r>
    </w:p>
    <w:p w:rsidR="00FF5E4C" w:rsidRPr="007B734A" w:rsidRDefault="00FF5E4C" w:rsidP="00585EFA">
      <w:pPr>
        <w:pStyle w:val="NoSpacing"/>
        <w:numPr>
          <w:ilvl w:val="0"/>
          <w:numId w:val="21"/>
        </w:numPr>
        <w:jc w:val="both"/>
        <w:rPr>
          <w:rFonts w:cs="Calibri"/>
          <w:sz w:val="20"/>
          <w:szCs w:val="20"/>
        </w:rPr>
      </w:pPr>
      <w:r w:rsidRPr="007B734A">
        <w:rPr>
          <w:rFonts w:cs="Calibri"/>
          <w:sz w:val="20"/>
          <w:szCs w:val="20"/>
        </w:rPr>
        <w:t>Unless supplemental energy resources or supply prices are high, long haul transmission to good wind is less economic than shorter distanced wind with less quality.</w:t>
      </w:r>
    </w:p>
    <w:p w:rsidR="00FF5E4C" w:rsidRDefault="00FF5E4C" w:rsidP="00585EFA">
      <w:pPr>
        <w:pStyle w:val="NoSpacing"/>
        <w:numPr>
          <w:ilvl w:val="0"/>
          <w:numId w:val="21"/>
        </w:numPr>
        <w:jc w:val="both"/>
        <w:rPr>
          <w:rFonts w:cs="Calibri"/>
          <w:sz w:val="20"/>
          <w:szCs w:val="20"/>
        </w:rPr>
      </w:pPr>
      <w:r w:rsidRPr="00585EFA">
        <w:rPr>
          <w:rFonts w:cs="Calibri"/>
          <w:sz w:val="20"/>
          <w:szCs w:val="20"/>
        </w:rPr>
        <w:t xml:space="preserve">Cost comparisons are extremely dependent on specifics and detailed analysis needs to be completed.  </w:t>
      </w:r>
    </w:p>
    <w:p w:rsidR="00FF5E4C" w:rsidRDefault="00FF5E4C" w:rsidP="00585EFA">
      <w:pPr>
        <w:pStyle w:val="NoSpacing"/>
        <w:jc w:val="both"/>
        <w:rPr>
          <w:rFonts w:cs="Calibri"/>
          <w:sz w:val="20"/>
          <w:szCs w:val="20"/>
        </w:rPr>
      </w:pPr>
    </w:p>
    <w:p w:rsidR="00FF5E4C" w:rsidRDefault="00FF5E4C" w:rsidP="00585EFA">
      <w:pPr>
        <w:pStyle w:val="NoSpacing"/>
        <w:jc w:val="both"/>
        <w:rPr>
          <w:rFonts w:cs="Calibri"/>
          <w:sz w:val="20"/>
          <w:szCs w:val="20"/>
        </w:rPr>
      </w:pPr>
    </w:p>
    <w:p w:rsidR="00FF5E4C" w:rsidRPr="008979E7" w:rsidRDefault="00FF5E4C" w:rsidP="000D5DA7">
      <w:pPr>
        <w:rPr>
          <w:b/>
        </w:rPr>
      </w:pPr>
      <w:r>
        <w:rPr>
          <w:b/>
        </w:rPr>
        <w:t xml:space="preserve">NW </w:t>
      </w:r>
      <w:r w:rsidRPr="008979E7">
        <w:rPr>
          <w:b/>
        </w:rPr>
        <w:t>WREZ Model and Peer Analysis Tool Studies by LBNL</w:t>
      </w:r>
    </w:p>
    <w:p w:rsidR="00FF5E4C" w:rsidRPr="008979E7" w:rsidRDefault="00FF5E4C" w:rsidP="000D5DA7">
      <w:pPr>
        <w:pStyle w:val="NoSpacing"/>
        <w:jc w:val="both"/>
        <w:rPr>
          <w:rFonts w:cs="Calibri"/>
          <w:sz w:val="20"/>
          <w:szCs w:val="20"/>
          <w:u w:val="single"/>
        </w:rPr>
      </w:pPr>
      <w:r w:rsidRPr="007B734A">
        <w:rPr>
          <w:rFonts w:cs="Calibri"/>
          <w:sz w:val="20"/>
          <w:szCs w:val="20"/>
        </w:rPr>
        <w:t>Using the WREZ data from the WREZ initiative and a new analysis tool the Laurence Berkley National Labs (LBNL) performed a series of studies to evaluate the economics and desirability of NW load areas to acquire new renewable resources from Oregon and Washington wind areas versus BC, Alberta, Wyoming and Montana</w:t>
      </w:r>
      <w:r>
        <w:rPr>
          <w:rFonts w:cs="Calibri"/>
          <w:sz w:val="20"/>
          <w:szCs w:val="20"/>
        </w:rPr>
        <w:t xml:space="preserve"> </w:t>
      </w:r>
      <w:r w:rsidRPr="007B734A">
        <w:rPr>
          <w:rFonts w:cs="Calibri"/>
          <w:sz w:val="20"/>
          <w:szCs w:val="20"/>
        </w:rPr>
        <w:t>REZs.</w:t>
      </w:r>
      <w:r w:rsidRPr="008979E7">
        <w:rPr>
          <w:rFonts w:cs="Calibri"/>
          <w:sz w:val="20"/>
          <w:szCs w:val="20"/>
          <w:u w:val="single"/>
        </w:rPr>
        <w:t xml:space="preserve"> </w:t>
      </w:r>
    </w:p>
    <w:p w:rsidR="00FF5E4C" w:rsidRPr="008979E7" w:rsidRDefault="00FF5E4C" w:rsidP="000D5DA7">
      <w:pPr>
        <w:pStyle w:val="NoSpacing"/>
        <w:jc w:val="both"/>
        <w:rPr>
          <w:rFonts w:cs="Calibri"/>
          <w:sz w:val="20"/>
          <w:szCs w:val="20"/>
        </w:rPr>
      </w:pPr>
    </w:p>
    <w:p w:rsidR="00FF5E4C" w:rsidRPr="008979E7" w:rsidRDefault="00FF5E4C" w:rsidP="000D5DA7">
      <w:pPr>
        <w:pStyle w:val="NoSpacing"/>
        <w:jc w:val="both"/>
        <w:rPr>
          <w:rFonts w:cs="Calibri"/>
          <w:sz w:val="20"/>
          <w:szCs w:val="20"/>
        </w:rPr>
      </w:pPr>
      <w:r w:rsidRPr="008979E7">
        <w:rPr>
          <w:rFonts w:cs="Calibri"/>
          <w:sz w:val="20"/>
          <w:szCs w:val="20"/>
        </w:rPr>
        <w:t>The WGA WREZ initiative and Black &amp; Veatch developed the WREZ model to:</w:t>
      </w:r>
    </w:p>
    <w:p w:rsidR="00FF5E4C" w:rsidRPr="008979E7" w:rsidRDefault="00FF5E4C" w:rsidP="000D5DA7">
      <w:pPr>
        <w:pStyle w:val="NoSpacing"/>
        <w:numPr>
          <w:ilvl w:val="0"/>
          <w:numId w:val="5"/>
        </w:numPr>
        <w:jc w:val="both"/>
        <w:rPr>
          <w:rFonts w:cs="Calibri"/>
          <w:sz w:val="20"/>
          <w:szCs w:val="20"/>
        </w:rPr>
      </w:pPr>
      <w:r w:rsidRPr="008979E7">
        <w:rPr>
          <w:rFonts w:cs="Calibri"/>
          <w:sz w:val="20"/>
          <w:szCs w:val="20"/>
        </w:rPr>
        <w:t>Identify high quality renewable energy zones "bubbles" in the West and their respective generation characteristics (shape, capacity factor, etc.)</w:t>
      </w:r>
    </w:p>
    <w:p w:rsidR="00FF5E4C" w:rsidRPr="008979E7" w:rsidRDefault="00FF5E4C" w:rsidP="000D5DA7">
      <w:pPr>
        <w:pStyle w:val="NoSpacing"/>
        <w:numPr>
          <w:ilvl w:val="0"/>
          <w:numId w:val="5"/>
        </w:numPr>
        <w:jc w:val="both"/>
        <w:rPr>
          <w:rFonts w:cs="Calibri"/>
          <w:sz w:val="20"/>
          <w:szCs w:val="20"/>
        </w:rPr>
      </w:pPr>
      <w:r w:rsidRPr="008979E7">
        <w:rPr>
          <w:rFonts w:cs="Calibri"/>
          <w:sz w:val="20"/>
          <w:szCs w:val="20"/>
        </w:rPr>
        <w:t>Estimate the cost of incremental (above existing) transmission additions needed to deliver the full amount of new incremental resources from REZs over likely routes to load zones.</w:t>
      </w:r>
    </w:p>
    <w:p w:rsidR="00FF5E4C" w:rsidRPr="008979E7" w:rsidRDefault="00FF5E4C" w:rsidP="000D5DA7">
      <w:pPr>
        <w:pStyle w:val="NoSpacing"/>
        <w:numPr>
          <w:ilvl w:val="0"/>
          <w:numId w:val="5"/>
        </w:numPr>
        <w:jc w:val="both"/>
        <w:rPr>
          <w:rFonts w:cs="Calibri"/>
          <w:sz w:val="20"/>
          <w:szCs w:val="20"/>
        </w:rPr>
      </w:pPr>
      <w:r w:rsidRPr="008979E7">
        <w:rPr>
          <w:rFonts w:cs="Calibri"/>
          <w:sz w:val="20"/>
          <w:szCs w:val="20"/>
        </w:rPr>
        <w:t>Estimate the full delivered cost of new incremental renewables (above existing) to load centers (including transmission amortized capital costs).</w:t>
      </w:r>
    </w:p>
    <w:p w:rsidR="00FF5E4C" w:rsidRPr="008979E7" w:rsidRDefault="00FF5E4C" w:rsidP="000D5DA7">
      <w:pPr>
        <w:pStyle w:val="NoSpacing"/>
        <w:jc w:val="both"/>
        <w:rPr>
          <w:rFonts w:cs="Calibri"/>
          <w:sz w:val="20"/>
          <w:szCs w:val="20"/>
        </w:rPr>
      </w:pPr>
    </w:p>
    <w:p w:rsidR="00FF5E4C" w:rsidRPr="008979E7" w:rsidRDefault="00FF5E4C" w:rsidP="000D5DA7">
      <w:pPr>
        <w:pStyle w:val="NoSpacing"/>
        <w:jc w:val="both"/>
        <w:rPr>
          <w:rFonts w:cs="Calibri"/>
          <w:sz w:val="20"/>
          <w:szCs w:val="20"/>
        </w:rPr>
      </w:pPr>
      <w:r w:rsidRPr="008979E7">
        <w:rPr>
          <w:rFonts w:cs="Calibri"/>
          <w:sz w:val="20"/>
          <w:szCs w:val="20"/>
        </w:rPr>
        <w:t>The Peer Analysis Tool (PAT) was developed to automatically develop optimized delivered energy supply curves for various load areas, including the effects of multiple load areas in competition for high quality renewables to meet increasing RPS requirements. This tool allows the identification and comparison of the cost and value of renewable resources delive</w:t>
      </w:r>
      <w:r>
        <w:rPr>
          <w:rFonts w:cs="Calibri"/>
          <w:sz w:val="20"/>
          <w:szCs w:val="20"/>
        </w:rPr>
        <w:t xml:space="preserve">red to load zones from various </w:t>
      </w:r>
      <w:r w:rsidRPr="008979E7">
        <w:rPr>
          <w:rFonts w:cs="Calibri"/>
          <w:sz w:val="20"/>
          <w:szCs w:val="20"/>
        </w:rPr>
        <w:t>REZs.  It also allows the development of a ranking of</w:t>
      </w:r>
      <w:r>
        <w:rPr>
          <w:rFonts w:cs="Calibri"/>
          <w:sz w:val="20"/>
          <w:szCs w:val="20"/>
        </w:rPr>
        <w:t xml:space="preserve"> the most desirable </w:t>
      </w:r>
      <w:r w:rsidRPr="008979E7">
        <w:rPr>
          <w:rFonts w:cs="Calibri"/>
          <w:sz w:val="20"/>
          <w:szCs w:val="20"/>
        </w:rPr>
        <w:t xml:space="preserve">REZs by individual Load Zones when load zones compete for resources. </w:t>
      </w:r>
    </w:p>
    <w:p w:rsidR="00FF5E4C" w:rsidRPr="008979E7" w:rsidRDefault="00FF5E4C" w:rsidP="000D5DA7">
      <w:pPr>
        <w:pStyle w:val="NoSpacing"/>
        <w:jc w:val="both"/>
        <w:rPr>
          <w:rFonts w:cs="Calibri"/>
          <w:sz w:val="20"/>
          <w:szCs w:val="20"/>
        </w:rPr>
      </w:pPr>
    </w:p>
    <w:p w:rsidR="00FF5E4C" w:rsidRPr="008979E7" w:rsidRDefault="00FF5E4C" w:rsidP="000D5DA7">
      <w:pPr>
        <w:pStyle w:val="NoSpacing"/>
        <w:jc w:val="both"/>
        <w:rPr>
          <w:rFonts w:cs="Calibri"/>
          <w:sz w:val="20"/>
          <w:szCs w:val="20"/>
        </w:rPr>
      </w:pPr>
      <w:r w:rsidRPr="008979E7">
        <w:rPr>
          <w:rFonts w:cs="Calibri"/>
          <w:sz w:val="20"/>
          <w:szCs w:val="20"/>
        </w:rPr>
        <w:t>The LBNL used the PAT to compare the adjusted delivered cost (full delivered costs including transmission and c</w:t>
      </w:r>
      <w:r>
        <w:rPr>
          <w:rFonts w:cs="Calibri"/>
          <w:sz w:val="20"/>
          <w:szCs w:val="20"/>
        </w:rPr>
        <w:t xml:space="preserve">ollection system bus bar costs, </w:t>
      </w:r>
      <w:r w:rsidRPr="008979E7">
        <w:rPr>
          <w:rFonts w:cs="Calibri"/>
          <w:sz w:val="20"/>
          <w:szCs w:val="20"/>
        </w:rPr>
        <w:t>adjusted for integration costs, energy value, and capacity value) of renewables delivered to NW load centers of:</w:t>
      </w:r>
    </w:p>
    <w:p w:rsidR="00FF5E4C" w:rsidRPr="008979E7" w:rsidRDefault="00FF5E4C" w:rsidP="000D5DA7">
      <w:pPr>
        <w:pStyle w:val="NoSpacing"/>
        <w:numPr>
          <w:ilvl w:val="0"/>
          <w:numId w:val="6"/>
        </w:numPr>
        <w:jc w:val="both"/>
        <w:rPr>
          <w:rFonts w:cs="Calibri"/>
          <w:sz w:val="20"/>
          <w:szCs w:val="20"/>
        </w:rPr>
      </w:pPr>
      <w:r w:rsidRPr="008979E7">
        <w:rPr>
          <w:rFonts w:cs="Calibri"/>
          <w:sz w:val="20"/>
          <w:szCs w:val="20"/>
        </w:rPr>
        <w:t xml:space="preserve">Portland, </w:t>
      </w:r>
    </w:p>
    <w:p w:rsidR="00FF5E4C" w:rsidRPr="008979E7" w:rsidRDefault="00FF5E4C" w:rsidP="000D5DA7">
      <w:pPr>
        <w:pStyle w:val="NoSpacing"/>
        <w:numPr>
          <w:ilvl w:val="0"/>
          <w:numId w:val="6"/>
        </w:numPr>
        <w:jc w:val="both"/>
        <w:rPr>
          <w:rFonts w:cs="Calibri"/>
          <w:sz w:val="20"/>
          <w:szCs w:val="20"/>
        </w:rPr>
      </w:pPr>
      <w:r w:rsidRPr="008979E7">
        <w:rPr>
          <w:rFonts w:cs="Calibri"/>
          <w:sz w:val="20"/>
          <w:szCs w:val="20"/>
        </w:rPr>
        <w:t xml:space="preserve">Seattle, </w:t>
      </w:r>
    </w:p>
    <w:p w:rsidR="00FF5E4C" w:rsidRPr="008979E7" w:rsidRDefault="00FF5E4C" w:rsidP="000D5DA7">
      <w:pPr>
        <w:pStyle w:val="NoSpacing"/>
        <w:numPr>
          <w:ilvl w:val="0"/>
          <w:numId w:val="6"/>
        </w:numPr>
        <w:jc w:val="both"/>
        <w:rPr>
          <w:rFonts w:cs="Calibri"/>
          <w:sz w:val="20"/>
          <w:szCs w:val="20"/>
        </w:rPr>
      </w:pPr>
      <w:r w:rsidRPr="008979E7">
        <w:rPr>
          <w:rFonts w:cs="Calibri"/>
          <w:sz w:val="20"/>
          <w:szCs w:val="20"/>
        </w:rPr>
        <w:t xml:space="preserve">Spokane </w:t>
      </w:r>
    </w:p>
    <w:p w:rsidR="00FF5E4C" w:rsidRPr="008979E7" w:rsidRDefault="00FF5E4C" w:rsidP="000D5DA7">
      <w:pPr>
        <w:pStyle w:val="NoSpacing"/>
        <w:jc w:val="both"/>
        <w:rPr>
          <w:rFonts w:cs="Calibri"/>
          <w:sz w:val="20"/>
          <w:szCs w:val="20"/>
        </w:rPr>
      </w:pPr>
    </w:p>
    <w:p w:rsidR="00FF5E4C" w:rsidRDefault="00FF5E4C" w:rsidP="007B734A">
      <w:pPr>
        <w:pStyle w:val="NoSpacing"/>
        <w:jc w:val="both"/>
        <w:rPr>
          <w:rFonts w:cs="Calibri"/>
          <w:sz w:val="20"/>
          <w:szCs w:val="20"/>
        </w:rPr>
      </w:pPr>
      <w:r>
        <w:rPr>
          <w:rFonts w:cs="Calibri"/>
          <w:sz w:val="20"/>
          <w:szCs w:val="20"/>
        </w:rPr>
        <w:t>Wind resource development was compared from the following renewable energy zones identified by WREZ:</w:t>
      </w:r>
    </w:p>
    <w:p w:rsidR="00FF5E4C" w:rsidRPr="008979E7" w:rsidRDefault="00FF5E4C" w:rsidP="002143B9">
      <w:pPr>
        <w:pStyle w:val="NoSpacing"/>
        <w:jc w:val="both"/>
        <w:rPr>
          <w:rFonts w:cs="Calibri"/>
          <w:sz w:val="20"/>
          <w:szCs w:val="20"/>
        </w:rPr>
      </w:pPr>
      <w:r w:rsidRPr="008979E7">
        <w:rPr>
          <w:rFonts w:cs="Calibri"/>
          <w:sz w:val="20"/>
          <w:szCs w:val="20"/>
        </w:rPr>
        <w:t xml:space="preserve">Local:  </w:t>
      </w:r>
    </w:p>
    <w:p w:rsidR="00FF5E4C" w:rsidRPr="008979E7" w:rsidRDefault="00FF5E4C" w:rsidP="007B734A">
      <w:pPr>
        <w:pStyle w:val="NoSpacing"/>
        <w:numPr>
          <w:ilvl w:val="0"/>
          <w:numId w:val="36"/>
        </w:numPr>
        <w:jc w:val="both"/>
        <w:rPr>
          <w:rFonts w:cs="Calibri"/>
          <w:sz w:val="20"/>
          <w:szCs w:val="20"/>
        </w:rPr>
      </w:pPr>
      <w:r w:rsidRPr="008979E7">
        <w:rPr>
          <w:rFonts w:cs="Calibri"/>
          <w:sz w:val="20"/>
          <w:szCs w:val="20"/>
        </w:rPr>
        <w:t xml:space="preserve">WA/OR/NV, </w:t>
      </w:r>
    </w:p>
    <w:p w:rsidR="00FF5E4C" w:rsidRPr="008979E7" w:rsidRDefault="00FF5E4C" w:rsidP="00611CAD">
      <w:pPr>
        <w:pStyle w:val="NoSpacing"/>
        <w:numPr>
          <w:ilvl w:val="0"/>
          <w:numId w:val="36"/>
        </w:numPr>
        <w:jc w:val="both"/>
        <w:rPr>
          <w:rFonts w:cs="Calibri"/>
          <w:sz w:val="20"/>
          <w:szCs w:val="20"/>
        </w:rPr>
      </w:pPr>
      <w:r w:rsidRPr="008979E7">
        <w:rPr>
          <w:rFonts w:cs="Calibri"/>
          <w:sz w:val="20"/>
          <w:szCs w:val="20"/>
        </w:rPr>
        <w:t>BC Close Zones</w:t>
      </w:r>
    </w:p>
    <w:p w:rsidR="00FF5E4C" w:rsidRPr="008979E7" w:rsidRDefault="00FF5E4C" w:rsidP="00611CAD">
      <w:pPr>
        <w:pStyle w:val="NoSpacing"/>
        <w:jc w:val="both"/>
        <w:rPr>
          <w:rFonts w:cs="Calibri"/>
          <w:sz w:val="20"/>
          <w:szCs w:val="20"/>
        </w:rPr>
      </w:pPr>
      <w:r w:rsidRPr="008979E7">
        <w:rPr>
          <w:rFonts w:cs="Calibri"/>
          <w:sz w:val="20"/>
          <w:szCs w:val="20"/>
        </w:rPr>
        <w:t xml:space="preserve">Remote: </w:t>
      </w:r>
    </w:p>
    <w:p w:rsidR="00FF5E4C" w:rsidRPr="00A018F8" w:rsidRDefault="00FF5E4C" w:rsidP="00611CAD">
      <w:pPr>
        <w:pStyle w:val="NoSpacing"/>
        <w:numPr>
          <w:ilvl w:val="0"/>
          <w:numId w:val="37"/>
        </w:numPr>
        <w:jc w:val="both"/>
        <w:rPr>
          <w:rFonts w:cs="Calibri"/>
          <w:sz w:val="20"/>
          <w:szCs w:val="20"/>
        </w:rPr>
      </w:pPr>
      <w:r w:rsidRPr="008979E7">
        <w:rPr>
          <w:sz w:val="20"/>
          <w:szCs w:val="20"/>
        </w:rPr>
        <w:t>Montana</w:t>
      </w:r>
    </w:p>
    <w:p w:rsidR="00FF5E4C" w:rsidRPr="008979E7" w:rsidRDefault="00FF5E4C" w:rsidP="00611CAD">
      <w:pPr>
        <w:pStyle w:val="NoSpacing"/>
        <w:numPr>
          <w:ilvl w:val="0"/>
          <w:numId w:val="37"/>
        </w:numPr>
        <w:jc w:val="both"/>
        <w:rPr>
          <w:rFonts w:cs="Calibri"/>
          <w:sz w:val="20"/>
          <w:szCs w:val="20"/>
        </w:rPr>
      </w:pPr>
      <w:r w:rsidRPr="008979E7">
        <w:rPr>
          <w:rFonts w:cs="Calibri"/>
          <w:sz w:val="20"/>
          <w:szCs w:val="20"/>
        </w:rPr>
        <w:t xml:space="preserve">Wyoming </w:t>
      </w:r>
    </w:p>
    <w:p w:rsidR="00FF5E4C" w:rsidRDefault="00FF5E4C" w:rsidP="00611CAD">
      <w:pPr>
        <w:spacing w:after="0" w:line="240" w:lineRule="auto"/>
        <w:rPr>
          <w:sz w:val="20"/>
          <w:szCs w:val="20"/>
        </w:rPr>
      </w:pPr>
    </w:p>
    <w:p w:rsidR="00FF5E4C" w:rsidRDefault="00FF5E4C" w:rsidP="00611CAD">
      <w:pPr>
        <w:spacing w:after="0" w:line="240" w:lineRule="auto"/>
        <w:rPr>
          <w:sz w:val="20"/>
          <w:szCs w:val="20"/>
        </w:rPr>
      </w:pPr>
      <w:r w:rsidRPr="002143B9">
        <w:rPr>
          <w:sz w:val="20"/>
          <w:szCs w:val="20"/>
        </w:rPr>
        <w:t>RPS requirement assumption included existing, 25%, then increasing to 33% by 2029, as well as a WECC-wide 33% RPS by 2029.  Sensitivity studies were performed for Investment Tax Credit and transmission addition voltages (500 kV and 765 kV).  Other assumptions are shown in Appendix</w:t>
      </w:r>
      <w:r>
        <w:rPr>
          <w:sz w:val="20"/>
          <w:szCs w:val="20"/>
        </w:rPr>
        <w:t xml:space="preserve"> F</w:t>
      </w:r>
      <w:r w:rsidRPr="002143B9">
        <w:rPr>
          <w:sz w:val="20"/>
          <w:szCs w:val="20"/>
        </w:rPr>
        <w:t>.</w:t>
      </w:r>
    </w:p>
    <w:p w:rsidR="00FF5E4C" w:rsidRPr="002143B9" w:rsidRDefault="00FF5E4C" w:rsidP="00611CAD">
      <w:pPr>
        <w:spacing w:after="0" w:line="240" w:lineRule="auto"/>
        <w:rPr>
          <w:rFonts w:cs="Calibri"/>
          <w:sz w:val="20"/>
          <w:szCs w:val="20"/>
        </w:rPr>
      </w:pPr>
    </w:p>
    <w:p w:rsidR="00FF5E4C" w:rsidRPr="008979E7" w:rsidRDefault="00FF5E4C" w:rsidP="00611CAD">
      <w:pPr>
        <w:pStyle w:val="NoSpacing"/>
        <w:jc w:val="both"/>
        <w:rPr>
          <w:rFonts w:cs="Calibri"/>
          <w:sz w:val="20"/>
          <w:szCs w:val="20"/>
        </w:rPr>
      </w:pPr>
      <w:r w:rsidRPr="008979E7">
        <w:rPr>
          <w:rFonts w:cs="Calibri"/>
          <w:sz w:val="20"/>
          <w:szCs w:val="20"/>
        </w:rPr>
        <w:t>The PAT developed a set of supply curves for Portland, Seattle, and Spokane showing full adjusted delivered costs of supplying increasing amounts of renewable energy required to meet RPS levels beginning with the starting point with existing RPS amounts of renewables and moving to 33% in 2029. The supply curves show the cost of energy at points of delivery for various resource mixes.</w:t>
      </w:r>
    </w:p>
    <w:p w:rsidR="00FF5E4C" w:rsidRPr="008979E7" w:rsidRDefault="00FF5E4C" w:rsidP="000D5DA7">
      <w:pPr>
        <w:pStyle w:val="NoSpacing"/>
        <w:jc w:val="both"/>
        <w:rPr>
          <w:rFonts w:cs="Calibri"/>
          <w:sz w:val="20"/>
          <w:szCs w:val="20"/>
        </w:rPr>
      </w:pPr>
    </w:p>
    <w:p w:rsidR="00FF5E4C" w:rsidRPr="008979E7" w:rsidRDefault="00FF5E4C" w:rsidP="000D5DA7">
      <w:pPr>
        <w:pStyle w:val="NoSpacing"/>
        <w:jc w:val="both"/>
        <w:rPr>
          <w:rFonts w:cs="Calibri"/>
          <w:sz w:val="20"/>
          <w:szCs w:val="20"/>
        </w:rPr>
      </w:pPr>
      <w:r w:rsidRPr="008979E7">
        <w:rPr>
          <w:rFonts w:cs="Calibri"/>
          <w:sz w:val="20"/>
          <w:szCs w:val="20"/>
        </w:rPr>
        <w:t xml:space="preserve">Various assumptions were made including capital financing options, tax credits, integration costs, transmission costs, CO2, fuel, etc. </w:t>
      </w:r>
    </w:p>
    <w:p w:rsidR="00FF5E4C" w:rsidRPr="008979E7" w:rsidRDefault="00FF5E4C" w:rsidP="008979E7">
      <w:pPr>
        <w:pStyle w:val="NoSpacing"/>
        <w:jc w:val="both"/>
        <w:rPr>
          <w:rFonts w:cs="Calibri"/>
          <w:b/>
          <w:sz w:val="20"/>
          <w:szCs w:val="20"/>
          <w:u w:val="single"/>
        </w:rPr>
      </w:pPr>
    </w:p>
    <w:p w:rsidR="00FF5E4C" w:rsidRPr="00590643" w:rsidRDefault="00FF5E4C" w:rsidP="008979E7">
      <w:pPr>
        <w:pStyle w:val="NoSpacing"/>
        <w:jc w:val="both"/>
        <w:rPr>
          <w:rFonts w:cs="Calibri"/>
          <w:sz w:val="20"/>
          <w:szCs w:val="20"/>
          <w:u w:val="single"/>
        </w:rPr>
      </w:pPr>
      <w:r w:rsidRPr="00590643">
        <w:rPr>
          <w:rFonts w:cs="Calibri"/>
          <w:sz w:val="20"/>
          <w:szCs w:val="20"/>
          <w:u w:val="single"/>
        </w:rPr>
        <w:t>Results:</w:t>
      </w:r>
    </w:p>
    <w:p w:rsidR="00FF5E4C" w:rsidRPr="008979E7" w:rsidRDefault="00FF5E4C" w:rsidP="000D5DA7">
      <w:pPr>
        <w:pStyle w:val="NoSpacing"/>
        <w:jc w:val="both"/>
        <w:rPr>
          <w:rFonts w:cs="Calibri"/>
          <w:sz w:val="20"/>
          <w:szCs w:val="20"/>
        </w:rPr>
      </w:pPr>
    </w:p>
    <w:p w:rsidR="00FF5E4C" w:rsidRPr="008979E7" w:rsidRDefault="00FF5E4C" w:rsidP="000D5DA7">
      <w:pPr>
        <w:pStyle w:val="NoSpacing"/>
        <w:jc w:val="both"/>
        <w:rPr>
          <w:rFonts w:cs="Calibri"/>
          <w:sz w:val="20"/>
          <w:szCs w:val="20"/>
        </w:rPr>
      </w:pPr>
      <w:r w:rsidRPr="008979E7">
        <w:rPr>
          <w:rFonts w:cs="Calibri"/>
          <w:sz w:val="20"/>
          <w:szCs w:val="20"/>
        </w:rPr>
        <w:t>The results indicated that:</w:t>
      </w:r>
    </w:p>
    <w:p w:rsidR="00FF5E4C" w:rsidRPr="008979E7" w:rsidRDefault="00FF5E4C" w:rsidP="000D5DA7">
      <w:pPr>
        <w:pStyle w:val="NoSpacing"/>
        <w:numPr>
          <w:ilvl w:val="0"/>
          <w:numId w:val="9"/>
        </w:numPr>
        <w:jc w:val="both"/>
        <w:rPr>
          <w:rFonts w:cs="Calibri"/>
          <w:sz w:val="20"/>
          <w:szCs w:val="20"/>
        </w:rPr>
      </w:pPr>
      <w:r w:rsidRPr="008979E7">
        <w:rPr>
          <w:rFonts w:cs="Calibri"/>
          <w:sz w:val="20"/>
          <w:szCs w:val="20"/>
        </w:rPr>
        <w:t>RPS requirements cause the Oregon and Washington Load Areas to seek additional energy resources from renewables in the following amounts:</w:t>
      </w:r>
    </w:p>
    <w:p w:rsidR="00FF5E4C" w:rsidRPr="008979E7" w:rsidRDefault="00FF5E4C" w:rsidP="000D5DA7">
      <w:pPr>
        <w:pStyle w:val="NoSpacing"/>
        <w:numPr>
          <w:ilvl w:val="0"/>
          <w:numId w:val="8"/>
        </w:numPr>
        <w:jc w:val="both"/>
        <w:rPr>
          <w:rFonts w:cs="Calibri"/>
          <w:sz w:val="20"/>
          <w:szCs w:val="20"/>
        </w:rPr>
      </w:pPr>
      <w:r w:rsidRPr="008979E7">
        <w:rPr>
          <w:rFonts w:cs="Calibri"/>
          <w:sz w:val="20"/>
          <w:szCs w:val="20"/>
        </w:rPr>
        <w:t>Portland 8.6 TWh/year RPS demand by 2029</w:t>
      </w:r>
    </w:p>
    <w:p w:rsidR="00FF5E4C" w:rsidRPr="008979E7" w:rsidRDefault="00FF5E4C" w:rsidP="000D5DA7">
      <w:pPr>
        <w:pStyle w:val="NoSpacing"/>
        <w:numPr>
          <w:ilvl w:val="0"/>
          <w:numId w:val="8"/>
        </w:numPr>
        <w:jc w:val="both"/>
        <w:rPr>
          <w:rFonts w:cs="Calibri"/>
          <w:sz w:val="20"/>
          <w:szCs w:val="20"/>
        </w:rPr>
      </w:pPr>
      <w:r w:rsidRPr="008979E7">
        <w:rPr>
          <w:rFonts w:cs="Calibri"/>
          <w:sz w:val="20"/>
          <w:szCs w:val="20"/>
        </w:rPr>
        <w:t>Seattle 10.5 TWh/year RPS demand by 2029</w:t>
      </w:r>
    </w:p>
    <w:p w:rsidR="00FF5E4C" w:rsidRPr="008979E7" w:rsidRDefault="00FF5E4C" w:rsidP="000D5DA7">
      <w:pPr>
        <w:pStyle w:val="NoSpacing"/>
        <w:numPr>
          <w:ilvl w:val="0"/>
          <w:numId w:val="8"/>
        </w:numPr>
        <w:jc w:val="both"/>
        <w:rPr>
          <w:rFonts w:cs="Calibri"/>
          <w:sz w:val="20"/>
          <w:szCs w:val="20"/>
        </w:rPr>
      </w:pPr>
      <w:r w:rsidRPr="008979E7">
        <w:rPr>
          <w:rFonts w:cs="Calibri"/>
          <w:sz w:val="20"/>
          <w:szCs w:val="20"/>
        </w:rPr>
        <w:t>Spokane</w:t>
      </w:r>
      <w:r>
        <w:rPr>
          <w:rFonts w:cs="Calibri"/>
          <w:sz w:val="20"/>
          <w:szCs w:val="20"/>
        </w:rPr>
        <w:t xml:space="preserve"> 1.5 TWh</w:t>
      </w:r>
      <w:r w:rsidRPr="008979E7">
        <w:rPr>
          <w:rFonts w:cs="Calibri"/>
          <w:sz w:val="20"/>
          <w:szCs w:val="20"/>
        </w:rPr>
        <w:t>/year RPS demand by 2029</w:t>
      </w:r>
    </w:p>
    <w:p w:rsidR="00FF5E4C" w:rsidRPr="008979E7" w:rsidRDefault="00FF5E4C" w:rsidP="000D5DA7">
      <w:pPr>
        <w:pStyle w:val="NoSpacing"/>
        <w:jc w:val="both"/>
        <w:rPr>
          <w:rFonts w:cs="Calibri"/>
          <w:sz w:val="20"/>
          <w:szCs w:val="20"/>
        </w:rPr>
      </w:pPr>
    </w:p>
    <w:p w:rsidR="00FF5E4C" w:rsidRPr="008979E7" w:rsidRDefault="00FF5E4C" w:rsidP="000D5DA7">
      <w:pPr>
        <w:pStyle w:val="NoSpacing"/>
        <w:jc w:val="both"/>
        <w:rPr>
          <w:rFonts w:cs="Calibri"/>
          <w:sz w:val="20"/>
          <w:szCs w:val="20"/>
        </w:rPr>
      </w:pPr>
      <w:r w:rsidRPr="008979E7">
        <w:rPr>
          <w:rFonts w:cs="Calibri"/>
          <w:sz w:val="20"/>
          <w:szCs w:val="20"/>
        </w:rPr>
        <w:t>The most economical REZs to obtain increasing supply for Oregon and Washington are in order:</w:t>
      </w:r>
    </w:p>
    <w:p w:rsidR="00FF5E4C" w:rsidRPr="008979E7" w:rsidRDefault="00FF5E4C" w:rsidP="000D5DA7">
      <w:pPr>
        <w:pStyle w:val="NoSpacing"/>
        <w:numPr>
          <w:ilvl w:val="0"/>
          <w:numId w:val="10"/>
        </w:numPr>
        <w:jc w:val="both"/>
        <w:rPr>
          <w:rFonts w:cs="Calibri"/>
          <w:sz w:val="20"/>
          <w:szCs w:val="20"/>
        </w:rPr>
      </w:pPr>
      <w:r w:rsidRPr="008979E7">
        <w:rPr>
          <w:rFonts w:cs="Calibri"/>
          <w:sz w:val="20"/>
          <w:szCs w:val="20"/>
        </w:rPr>
        <w:t xml:space="preserve">Oregon and Washington, </w:t>
      </w:r>
    </w:p>
    <w:p w:rsidR="00FF5E4C" w:rsidRPr="008979E7" w:rsidRDefault="00FF5E4C" w:rsidP="000D5DA7">
      <w:pPr>
        <w:pStyle w:val="NoSpacing"/>
        <w:numPr>
          <w:ilvl w:val="0"/>
          <w:numId w:val="10"/>
        </w:numPr>
        <w:jc w:val="both"/>
        <w:rPr>
          <w:rFonts w:cs="Calibri"/>
          <w:sz w:val="20"/>
          <w:szCs w:val="20"/>
        </w:rPr>
      </w:pPr>
      <w:r w:rsidRPr="008979E7">
        <w:rPr>
          <w:rFonts w:cs="Calibri"/>
          <w:sz w:val="20"/>
          <w:szCs w:val="20"/>
        </w:rPr>
        <w:t xml:space="preserve">BC or central Montana, </w:t>
      </w:r>
    </w:p>
    <w:p w:rsidR="00FF5E4C" w:rsidRPr="008979E7" w:rsidRDefault="00FF5E4C" w:rsidP="000D5DA7">
      <w:pPr>
        <w:pStyle w:val="NoSpacing"/>
        <w:numPr>
          <w:ilvl w:val="0"/>
          <w:numId w:val="10"/>
        </w:numPr>
        <w:jc w:val="both"/>
        <w:rPr>
          <w:rFonts w:cs="Calibri"/>
          <w:sz w:val="20"/>
          <w:szCs w:val="20"/>
        </w:rPr>
      </w:pPr>
      <w:r w:rsidRPr="008979E7">
        <w:rPr>
          <w:rFonts w:cs="Calibri"/>
          <w:sz w:val="20"/>
          <w:szCs w:val="20"/>
        </w:rPr>
        <w:t xml:space="preserve">Wyoming </w:t>
      </w:r>
    </w:p>
    <w:p w:rsidR="00FF5E4C" w:rsidRPr="008979E7" w:rsidRDefault="00FF5E4C" w:rsidP="00E6534A">
      <w:pPr>
        <w:pStyle w:val="NoSpacing"/>
        <w:jc w:val="both"/>
        <w:rPr>
          <w:rFonts w:cs="Calibri"/>
          <w:sz w:val="20"/>
          <w:szCs w:val="20"/>
        </w:rPr>
      </w:pPr>
    </w:p>
    <w:p w:rsidR="00FF5E4C" w:rsidRPr="008979E7" w:rsidRDefault="00FF5E4C" w:rsidP="000D5DA7">
      <w:pPr>
        <w:pStyle w:val="NoSpacing"/>
        <w:jc w:val="both"/>
        <w:rPr>
          <w:rFonts w:cs="Calibri"/>
          <w:sz w:val="20"/>
          <w:szCs w:val="20"/>
        </w:rPr>
      </w:pPr>
      <w:r w:rsidRPr="008979E7">
        <w:rPr>
          <w:rFonts w:cs="Calibri"/>
          <w:sz w:val="20"/>
          <w:szCs w:val="20"/>
        </w:rPr>
        <w:t>This would indicate that for the given modeling assumptions, local wind development is more economic that remote wind for the Oregon and Washington load areas based on the incremental cost of delivered new renewable energy.</w:t>
      </w:r>
    </w:p>
    <w:p w:rsidR="00FF5E4C" w:rsidRPr="008979E7" w:rsidRDefault="00FF5E4C" w:rsidP="000D5DA7">
      <w:pPr>
        <w:pStyle w:val="NoSpacing"/>
        <w:jc w:val="both"/>
        <w:rPr>
          <w:rFonts w:cs="Calibri"/>
          <w:sz w:val="20"/>
          <w:szCs w:val="20"/>
        </w:rPr>
      </w:pPr>
    </w:p>
    <w:p w:rsidR="00FF5E4C" w:rsidRPr="008979E7" w:rsidRDefault="00FF5E4C" w:rsidP="000D5DA7">
      <w:pPr>
        <w:pStyle w:val="NoSpacing"/>
        <w:jc w:val="both"/>
        <w:rPr>
          <w:rFonts w:cs="Calibri"/>
          <w:sz w:val="20"/>
          <w:szCs w:val="20"/>
        </w:rPr>
      </w:pPr>
      <w:r w:rsidRPr="008979E7">
        <w:rPr>
          <w:rFonts w:cs="Calibri"/>
          <w:sz w:val="20"/>
          <w:szCs w:val="20"/>
        </w:rPr>
        <w:t>Results are highly dependent on:</w:t>
      </w:r>
    </w:p>
    <w:p w:rsidR="00FF5E4C" w:rsidRPr="008979E7" w:rsidRDefault="00FF5E4C" w:rsidP="000D5DA7">
      <w:pPr>
        <w:pStyle w:val="NoSpacing"/>
        <w:numPr>
          <w:ilvl w:val="0"/>
          <w:numId w:val="11"/>
        </w:numPr>
        <w:jc w:val="both"/>
        <w:rPr>
          <w:rFonts w:cs="Calibri"/>
          <w:sz w:val="20"/>
          <w:szCs w:val="20"/>
        </w:rPr>
      </w:pPr>
      <w:r w:rsidRPr="008979E7">
        <w:rPr>
          <w:rFonts w:cs="Calibri"/>
          <w:sz w:val="20"/>
          <w:szCs w:val="20"/>
        </w:rPr>
        <w:t>Financial assumptions including ITC.</w:t>
      </w:r>
    </w:p>
    <w:p w:rsidR="00FF5E4C" w:rsidRPr="008979E7" w:rsidRDefault="00FF5E4C" w:rsidP="000D5DA7">
      <w:pPr>
        <w:pStyle w:val="NoSpacing"/>
        <w:numPr>
          <w:ilvl w:val="0"/>
          <w:numId w:val="11"/>
        </w:numPr>
        <w:jc w:val="both"/>
        <w:rPr>
          <w:rFonts w:cs="Calibri"/>
          <w:sz w:val="20"/>
          <w:szCs w:val="20"/>
        </w:rPr>
      </w:pPr>
      <w:r w:rsidRPr="008979E7">
        <w:rPr>
          <w:rFonts w:cs="Calibri"/>
          <w:sz w:val="20"/>
          <w:szCs w:val="20"/>
        </w:rPr>
        <w:t>Transmission utilization factor</w:t>
      </w:r>
      <w:r>
        <w:rPr>
          <w:rFonts w:cs="Calibri"/>
          <w:sz w:val="20"/>
          <w:szCs w:val="20"/>
        </w:rPr>
        <w:t>.</w:t>
      </w:r>
      <w:r w:rsidRPr="008979E7">
        <w:rPr>
          <w:rFonts w:cs="Calibri"/>
          <w:sz w:val="20"/>
          <w:szCs w:val="20"/>
        </w:rPr>
        <w:t xml:space="preserve"> </w:t>
      </w:r>
    </w:p>
    <w:p w:rsidR="00FF5E4C" w:rsidRPr="008979E7" w:rsidRDefault="00FF5E4C" w:rsidP="000D5DA7">
      <w:pPr>
        <w:pStyle w:val="NoSpacing"/>
        <w:numPr>
          <w:ilvl w:val="0"/>
          <w:numId w:val="11"/>
        </w:numPr>
        <w:jc w:val="both"/>
        <w:rPr>
          <w:rFonts w:cs="Calibri"/>
          <w:sz w:val="20"/>
          <w:szCs w:val="20"/>
        </w:rPr>
      </w:pPr>
      <w:r w:rsidRPr="008979E7">
        <w:rPr>
          <w:rFonts w:cs="Calibri"/>
          <w:sz w:val="20"/>
          <w:szCs w:val="20"/>
        </w:rPr>
        <w:t>Integration co</w:t>
      </w:r>
      <w:r>
        <w:rPr>
          <w:rFonts w:cs="Calibri"/>
          <w:sz w:val="20"/>
          <w:szCs w:val="20"/>
        </w:rPr>
        <w:t>sts:  Model uses constant $/MWH</w:t>
      </w:r>
      <w:r w:rsidRPr="008979E7">
        <w:rPr>
          <w:rFonts w:cs="Calibri"/>
          <w:sz w:val="20"/>
          <w:szCs w:val="20"/>
        </w:rPr>
        <w:t xml:space="preserve"> value</w:t>
      </w:r>
      <w:r>
        <w:rPr>
          <w:rFonts w:cs="Calibri"/>
          <w:sz w:val="20"/>
          <w:szCs w:val="20"/>
        </w:rPr>
        <w:t>.</w:t>
      </w:r>
    </w:p>
    <w:p w:rsidR="00FF5E4C" w:rsidRPr="008979E7" w:rsidRDefault="00FF5E4C" w:rsidP="000D5DA7">
      <w:pPr>
        <w:pStyle w:val="NoSpacing"/>
        <w:numPr>
          <w:ilvl w:val="0"/>
          <w:numId w:val="11"/>
        </w:numPr>
        <w:jc w:val="both"/>
        <w:rPr>
          <w:rFonts w:cs="Calibri"/>
          <w:sz w:val="20"/>
          <w:szCs w:val="20"/>
        </w:rPr>
      </w:pPr>
      <w:r w:rsidRPr="008979E7">
        <w:rPr>
          <w:rFonts w:cs="Calibri"/>
          <w:sz w:val="20"/>
          <w:szCs w:val="20"/>
        </w:rPr>
        <w:t xml:space="preserve">The </w:t>
      </w:r>
      <w:r>
        <w:rPr>
          <w:rFonts w:cs="Calibri"/>
          <w:sz w:val="20"/>
          <w:szCs w:val="20"/>
        </w:rPr>
        <w:t>transmission</w:t>
      </w:r>
      <w:r w:rsidRPr="008979E7">
        <w:rPr>
          <w:rFonts w:cs="Calibri"/>
          <w:sz w:val="20"/>
          <w:szCs w:val="20"/>
        </w:rPr>
        <w:t xml:space="preserve"> analysis method does not use distribution factors so it does not consider loop flow or fully account for congestion.</w:t>
      </w:r>
    </w:p>
    <w:p w:rsidR="00FF5E4C" w:rsidRPr="008979E7" w:rsidRDefault="00FF5E4C" w:rsidP="000D5DA7">
      <w:pPr>
        <w:pStyle w:val="NoSpacing"/>
        <w:numPr>
          <w:ilvl w:val="0"/>
          <w:numId w:val="11"/>
        </w:numPr>
        <w:jc w:val="both"/>
        <w:rPr>
          <w:rFonts w:cs="Calibri"/>
          <w:sz w:val="20"/>
          <w:szCs w:val="20"/>
        </w:rPr>
      </w:pPr>
      <w:r w:rsidRPr="008979E7">
        <w:rPr>
          <w:rFonts w:cs="Calibri"/>
          <w:sz w:val="20"/>
          <w:szCs w:val="20"/>
        </w:rPr>
        <w:t>The model does not utilize any of the existing transmission system to deliver new renewable resources.  This is a major difference between the WREZ model and the TEPPC analysis.</w:t>
      </w:r>
    </w:p>
    <w:p w:rsidR="00FF5E4C" w:rsidRPr="008979E7" w:rsidRDefault="00FF5E4C" w:rsidP="000D5DA7">
      <w:pPr>
        <w:pStyle w:val="NoSpacing"/>
        <w:numPr>
          <w:ilvl w:val="0"/>
          <w:numId w:val="11"/>
        </w:numPr>
        <w:jc w:val="both"/>
        <w:rPr>
          <w:rFonts w:cs="Calibri"/>
          <w:sz w:val="20"/>
          <w:szCs w:val="20"/>
        </w:rPr>
      </w:pPr>
      <w:r w:rsidRPr="008979E7">
        <w:rPr>
          <w:rFonts w:cs="Calibri"/>
          <w:sz w:val="20"/>
          <w:szCs w:val="20"/>
        </w:rPr>
        <w:t>The model does not include wheeling pancakes</w:t>
      </w:r>
      <w:r>
        <w:rPr>
          <w:rFonts w:cs="Calibri"/>
          <w:sz w:val="20"/>
          <w:szCs w:val="20"/>
        </w:rPr>
        <w:t>.</w:t>
      </w:r>
    </w:p>
    <w:p w:rsidR="00FF5E4C" w:rsidRDefault="00FF5E4C" w:rsidP="00375E39">
      <w:pPr>
        <w:pStyle w:val="NoSpacing"/>
        <w:jc w:val="both"/>
        <w:rPr>
          <w:rStyle w:val="Strong"/>
        </w:rPr>
      </w:pPr>
    </w:p>
    <w:p w:rsidR="00FF5E4C" w:rsidRDefault="00FF5E4C" w:rsidP="00375E39">
      <w:pPr>
        <w:pStyle w:val="NoSpacing"/>
        <w:jc w:val="both"/>
        <w:rPr>
          <w:rStyle w:val="Strong"/>
        </w:rPr>
      </w:pPr>
      <w:r>
        <w:rPr>
          <w:rStyle w:val="Strong"/>
        </w:rPr>
        <w:br w:type="column"/>
        <w:t>West Wide WREZ LBNL Study</w:t>
      </w:r>
    </w:p>
    <w:p w:rsidR="00FF5E4C" w:rsidRDefault="00FF5E4C" w:rsidP="00375E39">
      <w:pPr>
        <w:pStyle w:val="NoSpacing"/>
        <w:jc w:val="both"/>
        <w:rPr>
          <w:rStyle w:val="Strong"/>
        </w:rPr>
      </w:pPr>
    </w:p>
    <w:p w:rsidR="00FF5E4C" w:rsidRDefault="00FF5E4C" w:rsidP="00375E39">
      <w:pPr>
        <w:pStyle w:val="NoSpacing"/>
        <w:jc w:val="both"/>
        <w:rPr>
          <w:rStyle w:val="Strong"/>
          <w:b w:val="0"/>
          <w:sz w:val="20"/>
          <w:szCs w:val="20"/>
        </w:rPr>
      </w:pPr>
      <w:r w:rsidRPr="002065A4">
        <w:rPr>
          <w:rStyle w:val="Strong"/>
          <w:b w:val="0"/>
          <w:sz w:val="20"/>
          <w:szCs w:val="20"/>
        </w:rPr>
        <w:t xml:space="preserve">The WREZ initiative also sponsored a </w:t>
      </w:r>
      <w:r>
        <w:rPr>
          <w:rStyle w:val="Strong"/>
          <w:b w:val="0"/>
          <w:sz w:val="20"/>
          <w:szCs w:val="20"/>
        </w:rPr>
        <w:t xml:space="preserve">west wide study of renewable development by LBNL using the WREZ and PAT tools with the addition of several modules examining the competition between load areas for the best renewables.  This study included the effects of market price and competition by load zones for the most attractive renewables from renewable zones as influenced by the value of the resource to the load zone and transmission costs to deliver.  The primary metric to compare results was "adjusted delivered cost" which included an adjustment to the full delivered cost based on the competitive value of the resource to the load zone.  Renewable resources included all in the WREZ initiative including solar and biomass.  Renewable Portfolio Standard requirements included analysis of 12, 25, and 33 percent.  As levels approached the 33% RPS, even the NW Seattle load needs to reach out to remote Montana wind to meet requirements. </w:t>
      </w:r>
    </w:p>
    <w:p w:rsidR="00FF5E4C" w:rsidRDefault="00FF5E4C" w:rsidP="00375E39">
      <w:pPr>
        <w:pStyle w:val="NoSpacing"/>
        <w:jc w:val="both"/>
        <w:rPr>
          <w:rStyle w:val="Strong"/>
          <w:b w:val="0"/>
          <w:sz w:val="20"/>
          <w:szCs w:val="20"/>
        </w:rPr>
      </w:pPr>
    </w:p>
    <w:p w:rsidR="00FF5E4C" w:rsidRDefault="00FF5E4C" w:rsidP="00375E39">
      <w:pPr>
        <w:pStyle w:val="NoSpacing"/>
        <w:jc w:val="both"/>
        <w:rPr>
          <w:rStyle w:val="Strong"/>
          <w:b w:val="0"/>
          <w:sz w:val="20"/>
          <w:szCs w:val="20"/>
        </w:rPr>
      </w:pPr>
      <w:r>
        <w:rPr>
          <w:rStyle w:val="Strong"/>
          <w:b w:val="0"/>
          <w:sz w:val="20"/>
          <w:szCs w:val="20"/>
        </w:rPr>
        <w:t xml:space="preserve">The study also included the ability of load zones to meet RPS requirements via procurement of RECs.  Several cases demonstrating sensitivity to REC terms and conditions were studied.  </w:t>
      </w:r>
    </w:p>
    <w:p w:rsidR="00FF5E4C" w:rsidRPr="002065A4" w:rsidRDefault="00FF5E4C" w:rsidP="00375E39">
      <w:pPr>
        <w:pStyle w:val="NoSpacing"/>
        <w:jc w:val="both"/>
        <w:rPr>
          <w:rStyle w:val="Strong"/>
          <w:b w:val="0"/>
          <w:sz w:val="20"/>
          <w:szCs w:val="20"/>
        </w:rPr>
      </w:pPr>
    </w:p>
    <w:p w:rsidR="00FF5E4C" w:rsidRPr="00590643" w:rsidRDefault="00FF5E4C" w:rsidP="00284425">
      <w:pPr>
        <w:pStyle w:val="NoSpacing"/>
        <w:rPr>
          <w:rFonts w:cs="Calibri"/>
          <w:sz w:val="20"/>
          <w:szCs w:val="20"/>
          <w:u w:val="single"/>
        </w:rPr>
      </w:pPr>
      <w:r w:rsidRPr="00590643">
        <w:rPr>
          <w:rFonts w:cs="Calibri"/>
          <w:sz w:val="20"/>
          <w:szCs w:val="20"/>
          <w:u w:val="single"/>
        </w:rPr>
        <w:t>Assumptions and Study Design</w:t>
      </w:r>
    </w:p>
    <w:p w:rsidR="00FF5E4C" w:rsidRPr="00624B6F" w:rsidRDefault="00FF5E4C" w:rsidP="00284425">
      <w:pPr>
        <w:pStyle w:val="NoSpacing"/>
        <w:rPr>
          <w:rFonts w:cs="Calibri"/>
          <w:sz w:val="20"/>
          <w:szCs w:val="20"/>
        </w:rPr>
      </w:pPr>
      <w:r w:rsidRPr="00624B6F">
        <w:rPr>
          <w:rFonts w:cs="Calibri"/>
          <w:sz w:val="20"/>
          <w:szCs w:val="20"/>
        </w:rPr>
        <w:t>The following are some of the key assumptions and methods of the study:</w:t>
      </w:r>
    </w:p>
    <w:p w:rsidR="00FF5E4C" w:rsidRPr="00624B6F" w:rsidRDefault="00FF5E4C" w:rsidP="00284425">
      <w:pPr>
        <w:pStyle w:val="NoSpacing"/>
        <w:numPr>
          <w:ilvl w:val="0"/>
          <w:numId w:val="17"/>
        </w:numPr>
        <w:rPr>
          <w:rFonts w:cs="Calibri"/>
          <w:sz w:val="20"/>
          <w:szCs w:val="20"/>
        </w:rPr>
      </w:pPr>
      <w:r w:rsidRPr="00624B6F">
        <w:rPr>
          <w:rFonts w:cs="Calibri"/>
          <w:sz w:val="20"/>
          <w:szCs w:val="20"/>
        </w:rPr>
        <w:t>Test year of 2029</w:t>
      </w:r>
    </w:p>
    <w:p w:rsidR="00FF5E4C" w:rsidRPr="00624B6F" w:rsidRDefault="00FF5E4C" w:rsidP="00284425">
      <w:pPr>
        <w:pStyle w:val="NoSpacing"/>
        <w:numPr>
          <w:ilvl w:val="0"/>
          <w:numId w:val="17"/>
        </w:numPr>
        <w:rPr>
          <w:rFonts w:cs="Calibri"/>
          <w:sz w:val="20"/>
          <w:szCs w:val="20"/>
        </w:rPr>
      </w:pPr>
      <w:r w:rsidRPr="00624B6F">
        <w:rPr>
          <w:rFonts w:cs="Calibri"/>
          <w:sz w:val="20"/>
          <w:szCs w:val="20"/>
        </w:rPr>
        <w:t>RPS requirements are WECC-wide and are tested at 12%, 25% and 33%</w:t>
      </w:r>
    </w:p>
    <w:p w:rsidR="00FF5E4C" w:rsidRPr="00624B6F" w:rsidRDefault="00FF5E4C" w:rsidP="00284425">
      <w:pPr>
        <w:pStyle w:val="NoSpacing"/>
        <w:numPr>
          <w:ilvl w:val="0"/>
          <w:numId w:val="17"/>
        </w:numPr>
        <w:rPr>
          <w:rFonts w:cs="Calibri"/>
          <w:sz w:val="20"/>
          <w:szCs w:val="20"/>
        </w:rPr>
      </w:pPr>
      <w:r w:rsidRPr="00624B6F">
        <w:rPr>
          <w:rFonts w:cs="Calibri"/>
          <w:sz w:val="20"/>
          <w:szCs w:val="20"/>
        </w:rPr>
        <w:t>Resources are WREZ-identified resource hubs only.  Hubs are discrete geographic concentrations of environmentally preferred renewable resources that might justify a new 1,500 MW transmission line.</w:t>
      </w:r>
    </w:p>
    <w:p w:rsidR="00FF5E4C" w:rsidRPr="00624B6F" w:rsidRDefault="00FF5E4C" w:rsidP="00284425">
      <w:pPr>
        <w:pStyle w:val="NoSpacing"/>
        <w:numPr>
          <w:ilvl w:val="0"/>
          <w:numId w:val="17"/>
        </w:numPr>
        <w:rPr>
          <w:rFonts w:cs="Calibri"/>
          <w:sz w:val="20"/>
          <w:szCs w:val="20"/>
        </w:rPr>
      </w:pPr>
      <w:r w:rsidRPr="00624B6F">
        <w:rPr>
          <w:rFonts w:cs="Calibri"/>
          <w:sz w:val="20"/>
          <w:szCs w:val="20"/>
        </w:rPr>
        <w:t>Adjusted Delivered Cost is defined as:</w:t>
      </w:r>
    </w:p>
    <w:p w:rsidR="00FF5E4C" w:rsidRPr="00624B6F" w:rsidRDefault="00FF5E4C" w:rsidP="00284425">
      <w:pPr>
        <w:pStyle w:val="NoSpacing"/>
        <w:ind w:left="720"/>
        <w:rPr>
          <w:rFonts w:cs="Calibri"/>
          <w:sz w:val="20"/>
          <w:szCs w:val="20"/>
        </w:rPr>
      </w:pPr>
      <w:r w:rsidRPr="00624B6F">
        <w:rPr>
          <w:rFonts w:cs="Calibri"/>
          <w:sz w:val="20"/>
          <w:szCs w:val="20"/>
        </w:rPr>
        <w:t>Bus-Bar Cost</w:t>
      </w:r>
    </w:p>
    <w:p w:rsidR="00FF5E4C" w:rsidRPr="00624B6F" w:rsidRDefault="00FF5E4C" w:rsidP="00284425">
      <w:pPr>
        <w:pStyle w:val="NoSpacing"/>
        <w:numPr>
          <w:ilvl w:val="1"/>
          <w:numId w:val="17"/>
        </w:numPr>
        <w:rPr>
          <w:rFonts w:cs="Calibri"/>
          <w:sz w:val="20"/>
          <w:szCs w:val="20"/>
        </w:rPr>
      </w:pPr>
      <w:r w:rsidRPr="00624B6F">
        <w:rPr>
          <w:rFonts w:cs="Calibri"/>
          <w:sz w:val="20"/>
          <w:szCs w:val="20"/>
        </w:rPr>
        <w:t>PLUS</w:t>
      </w:r>
      <w:r w:rsidRPr="00624B6F">
        <w:rPr>
          <w:rFonts w:cs="Calibri"/>
          <w:sz w:val="20"/>
          <w:szCs w:val="20"/>
        </w:rPr>
        <w:tab/>
      </w:r>
      <w:r w:rsidRPr="00624B6F">
        <w:rPr>
          <w:rFonts w:cs="Calibri"/>
          <w:sz w:val="20"/>
          <w:szCs w:val="20"/>
        </w:rPr>
        <w:tab/>
        <w:t>Transmission costs (including losses)</w:t>
      </w:r>
    </w:p>
    <w:p w:rsidR="00FF5E4C" w:rsidRPr="00624B6F" w:rsidRDefault="00FF5E4C" w:rsidP="00284425">
      <w:pPr>
        <w:pStyle w:val="NoSpacing"/>
        <w:numPr>
          <w:ilvl w:val="1"/>
          <w:numId w:val="17"/>
        </w:numPr>
        <w:rPr>
          <w:rFonts w:cs="Calibri"/>
          <w:sz w:val="20"/>
          <w:szCs w:val="20"/>
        </w:rPr>
      </w:pPr>
      <w:r w:rsidRPr="00624B6F">
        <w:rPr>
          <w:rFonts w:cs="Calibri"/>
          <w:sz w:val="20"/>
          <w:szCs w:val="20"/>
        </w:rPr>
        <w:t xml:space="preserve">PLUS </w:t>
      </w:r>
      <w:r w:rsidRPr="00624B6F">
        <w:rPr>
          <w:rFonts w:cs="Calibri"/>
          <w:sz w:val="20"/>
          <w:szCs w:val="20"/>
        </w:rPr>
        <w:tab/>
      </w:r>
      <w:r w:rsidRPr="00624B6F">
        <w:rPr>
          <w:rFonts w:cs="Calibri"/>
          <w:sz w:val="20"/>
          <w:szCs w:val="20"/>
        </w:rPr>
        <w:tab/>
        <w:t>Integration cost</w:t>
      </w:r>
    </w:p>
    <w:p w:rsidR="00FF5E4C" w:rsidRPr="00624B6F" w:rsidRDefault="00FF5E4C" w:rsidP="00284425">
      <w:pPr>
        <w:pStyle w:val="NoSpacing"/>
        <w:numPr>
          <w:ilvl w:val="1"/>
          <w:numId w:val="17"/>
        </w:numPr>
        <w:rPr>
          <w:rFonts w:cs="Calibri"/>
          <w:sz w:val="20"/>
          <w:szCs w:val="20"/>
        </w:rPr>
      </w:pPr>
      <w:r w:rsidRPr="00624B6F">
        <w:rPr>
          <w:rFonts w:cs="Calibri"/>
          <w:sz w:val="20"/>
          <w:szCs w:val="20"/>
        </w:rPr>
        <w:t>LESS</w:t>
      </w:r>
      <w:r w:rsidRPr="00624B6F">
        <w:rPr>
          <w:rFonts w:cs="Calibri"/>
          <w:sz w:val="20"/>
          <w:szCs w:val="20"/>
        </w:rPr>
        <w:tab/>
      </w:r>
      <w:r w:rsidRPr="00624B6F">
        <w:rPr>
          <w:rFonts w:cs="Calibri"/>
          <w:sz w:val="20"/>
          <w:szCs w:val="20"/>
        </w:rPr>
        <w:tab/>
        <w:t>Capacity value</w:t>
      </w:r>
      <w:r>
        <w:rPr>
          <w:rFonts w:cs="Calibri"/>
          <w:sz w:val="20"/>
          <w:szCs w:val="20"/>
        </w:rPr>
        <w:t xml:space="preserve"> adjustment</w:t>
      </w:r>
    </w:p>
    <w:p w:rsidR="00FF5E4C" w:rsidRPr="00624B6F" w:rsidRDefault="00FF5E4C" w:rsidP="00284425">
      <w:pPr>
        <w:pStyle w:val="NoSpacing"/>
        <w:numPr>
          <w:ilvl w:val="1"/>
          <w:numId w:val="17"/>
        </w:numPr>
        <w:rPr>
          <w:rFonts w:cs="Calibri"/>
          <w:sz w:val="20"/>
          <w:szCs w:val="20"/>
        </w:rPr>
      </w:pPr>
      <w:r w:rsidRPr="00624B6F">
        <w:rPr>
          <w:rFonts w:cs="Calibri"/>
          <w:sz w:val="20"/>
          <w:szCs w:val="20"/>
        </w:rPr>
        <w:t xml:space="preserve">LESS </w:t>
      </w:r>
      <w:r w:rsidRPr="00624B6F">
        <w:rPr>
          <w:rFonts w:cs="Calibri"/>
          <w:sz w:val="20"/>
          <w:szCs w:val="20"/>
        </w:rPr>
        <w:tab/>
      </w:r>
      <w:r w:rsidRPr="00624B6F">
        <w:rPr>
          <w:rFonts w:cs="Calibri"/>
          <w:sz w:val="20"/>
          <w:szCs w:val="20"/>
        </w:rPr>
        <w:tab/>
        <w:t>Time of day energy value</w:t>
      </w:r>
      <w:r>
        <w:rPr>
          <w:rFonts w:cs="Calibri"/>
          <w:sz w:val="20"/>
          <w:szCs w:val="20"/>
        </w:rPr>
        <w:t xml:space="preserve"> adjustment</w:t>
      </w:r>
    </w:p>
    <w:p w:rsidR="00FF5E4C" w:rsidRPr="00624B6F" w:rsidRDefault="00FF5E4C" w:rsidP="00284425">
      <w:pPr>
        <w:pStyle w:val="NoSpacing"/>
        <w:numPr>
          <w:ilvl w:val="0"/>
          <w:numId w:val="17"/>
        </w:numPr>
        <w:rPr>
          <w:rFonts w:cs="Calibri"/>
          <w:sz w:val="20"/>
          <w:szCs w:val="20"/>
        </w:rPr>
      </w:pPr>
      <w:r w:rsidRPr="00624B6F">
        <w:rPr>
          <w:rFonts w:cs="Calibri"/>
          <w:sz w:val="20"/>
          <w:szCs w:val="20"/>
        </w:rPr>
        <w:t>Solar assumed financed with 25-year debt, all others 15-year</w:t>
      </w:r>
    </w:p>
    <w:p w:rsidR="00FF5E4C" w:rsidRPr="00624B6F" w:rsidRDefault="00FF5E4C" w:rsidP="00284425">
      <w:pPr>
        <w:pStyle w:val="NoSpacing"/>
        <w:numPr>
          <w:ilvl w:val="0"/>
          <w:numId w:val="17"/>
        </w:numPr>
        <w:rPr>
          <w:rFonts w:cs="Calibri"/>
          <w:sz w:val="20"/>
          <w:szCs w:val="20"/>
        </w:rPr>
      </w:pPr>
      <w:r w:rsidRPr="00624B6F">
        <w:rPr>
          <w:rFonts w:cs="Calibri"/>
          <w:sz w:val="20"/>
          <w:szCs w:val="20"/>
        </w:rPr>
        <w:t>New transmission assumed to be required between resource and load, costs assigned on a pro-rata share (lumpiness ignored)</w:t>
      </w:r>
    </w:p>
    <w:p w:rsidR="00FF5E4C" w:rsidRPr="00624B6F" w:rsidRDefault="00FF5E4C" w:rsidP="00284425">
      <w:pPr>
        <w:pStyle w:val="NoSpacing"/>
        <w:numPr>
          <w:ilvl w:val="0"/>
          <w:numId w:val="17"/>
        </w:numPr>
        <w:rPr>
          <w:rFonts w:cs="Calibri"/>
          <w:sz w:val="20"/>
          <w:szCs w:val="20"/>
        </w:rPr>
      </w:pPr>
      <w:r w:rsidRPr="00624B6F">
        <w:rPr>
          <w:rFonts w:cs="Calibri"/>
          <w:sz w:val="20"/>
          <w:szCs w:val="20"/>
        </w:rPr>
        <w:t xml:space="preserve">Integration costs:   </w:t>
      </w:r>
      <w:r>
        <w:rPr>
          <w:rFonts w:cs="Calibri"/>
          <w:sz w:val="20"/>
          <w:szCs w:val="20"/>
        </w:rPr>
        <w:t>Flat cost adders that do not change with increasing renewable penetration levels.  W</w:t>
      </w:r>
      <w:r w:rsidRPr="00624B6F">
        <w:rPr>
          <w:rFonts w:cs="Calibri"/>
          <w:sz w:val="20"/>
          <w:szCs w:val="20"/>
        </w:rPr>
        <w:t>ind $5/MWhr; PV and solar thermal without storage $2.50/MWhr.  Assumes a high degree of balancing area cooperation or consolidation, otherwise integration in the 33% case expected to be much higher.</w:t>
      </w:r>
    </w:p>
    <w:p w:rsidR="00FF5E4C" w:rsidRDefault="00FF5E4C" w:rsidP="002065A4">
      <w:pPr>
        <w:pStyle w:val="NoSpacing"/>
        <w:rPr>
          <w:rFonts w:cs="Calibri"/>
          <w:b/>
          <w:sz w:val="20"/>
          <w:szCs w:val="20"/>
          <w:u w:val="single"/>
        </w:rPr>
      </w:pPr>
    </w:p>
    <w:p w:rsidR="00FF5E4C" w:rsidRPr="00590643" w:rsidRDefault="00FF5E4C" w:rsidP="002065A4">
      <w:pPr>
        <w:pStyle w:val="NoSpacing"/>
        <w:rPr>
          <w:rFonts w:cs="Calibri"/>
          <w:sz w:val="20"/>
          <w:szCs w:val="20"/>
          <w:u w:val="single"/>
        </w:rPr>
      </w:pPr>
      <w:r w:rsidRPr="00590643">
        <w:rPr>
          <w:rFonts w:cs="Calibri"/>
          <w:sz w:val="20"/>
          <w:szCs w:val="20"/>
          <w:u w:val="single"/>
        </w:rPr>
        <w:t>Selected Results</w:t>
      </w:r>
    </w:p>
    <w:p w:rsidR="00FF5E4C" w:rsidRPr="00624B6F" w:rsidRDefault="00FF5E4C" w:rsidP="002065A4">
      <w:pPr>
        <w:pStyle w:val="NoSpacing"/>
        <w:rPr>
          <w:rFonts w:cs="Calibri"/>
          <w:sz w:val="20"/>
          <w:szCs w:val="20"/>
        </w:rPr>
      </w:pPr>
      <w:r w:rsidRPr="00624B6F">
        <w:rPr>
          <w:rFonts w:cs="Calibri"/>
          <w:sz w:val="20"/>
          <w:szCs w:val="20"/>
        </w:rPr>
        <w:t>The study looked at drivers of adjusted delivered costs, a base case solution and a series of sensitivity cases that test a variety of parameters.  Results of note include:</w:t>
      </w:r>
    </w:p>
    <w:p w:rsidR="00FF5E4C" w:rsidRPr="00624B6F" w:rsidRDefault="00FF5E4C" w:rsidP="002065A4">
      <w:pPr>
        <w:pStyle w:val="NoSpacing"/>
        <w:numPr>
          <w:ilvl w:val="0"/>
          <w:numId w:val="18"/>
        </w:numPr>
        <w:rPr>
          <w:rFonts w:cs="Calibri"/>
          <w:sz w:val="20"/>
          <w:szCs w:val="20"/>
        </w:rPr>
      </w:pPr>
      <w:r w:rsidRPr="00624B6F">
        <w:rPr>
          <w:rFonts w:cs="Calibri"/>
          <w:sz w:val="20"/>
          <w:szCs w:val="20"/>
        </w:rPr>
        <w:t>The “individual best resource case” allowed each load zone to identify the most economically attractive resources without regard to competition from other load areas.  Low cost, high value and well located resources (incremental Washington hydro, Nevada and Oregon geothermal) were most “over procured” (400% and greater).  Significant competition between multiple load zones also was identified for California, Wyoming, Montana and Oregon wind, California and BC geothermal, and biomass generally.</w:t>
      </w:r>
    </w:p>
    <w:p w:rsidR="00FF5E4C" w:rsidRPr="00624B6F" w:rsidRDefault="00FF5E4C" w:rsidP="002065A4">
      <w:pPr>
        <w:pStyle w:val="NoSpacing"/>
        <w:numPr>
          <w:ilvl w:val="0"/>
          <w:numId w:val="18"/>
        </w:numPr>
        <w:rPr>
          <w:rFonts w:cs="Calibri"/>
          <w:sz w:val="20"/>
          <w:szCs w:val="20"/>
        </w:rPr>
      </w:pPr>
      <w:r w:rsidRPr="00624B6F">
        <w:rPr>
          <w:rFonts w:cs="Calibri"/>
          <w:sz w:val="20"/>
          <w:szCs w:val="20"/>
        </w:rPr>
        <w:t>Competitive cases assume resources are allocated to the load zone that has the most economic benefit (WECC-wide cost minimization, subject to meeting RPS targets and limited renewable resource quantities).</w:t>
      </w:r>
    </w:p>
    <w:p w:rsidR="00FF5E4C" w:rsidRPr="00082996" w:rsidRDefault="00FF5E4C" w:rsidP="002065A4">
      <w:pPr>
        <w:pStyle w:val="NoSpacing"/>
        <w:numPr>
          <w:ilvl w:val="0"/>
          <w:numId w:val="18"/>
        </w:numPr>
        <w:rPr>
          <w:rFonts w:cs="Calibri"/>
          <w:sz w:val="20"/>
          <w:szCs w:val="20"/>
        </w:rPr>
      </w:pPr>
      <w:r w:rsidRPr="00624B6F">
        <w:rPr>
          <w:rFonts w:cs="Calibri"/>
          <w:sz w:val="20"/>
          <w:szCs w:val="20"/>
        </w:rPr>
        <w:t xml:space="preserve">Base case (33% RE, delivered to each load zone, see figure 7 and table 7 below) overall WECC resource portfolio is 49% wind.  In Pacific Northwest and Rocky Mountain load zones wind penetration approaches the full 33% requirement.  Solar (29% WECC-wide) is selected only in California (56% of requirement), Nevada (66%) and Arizona (100%).  Geothermal, biomass and hydro make up the remaining 22% </w:t>
      </w:r>
      <w:r w:rsidRPr="00082996">
        <w:rPr>
          <w:rFonts w:cs="Calibri"/>
          <w:sz w:val="20"/>
          <w:szCs w:val="20"/>
        </w:rPr>
        <w:t>of WECC requirement and being economically attractive tend to stay in their more local areas.</w:t>
      </w:r>
    </w:p>
    <w:p w:rsidR="00FF5E4C" w:rsidRPr="00624B6F" w:rsidRDefault="00FF5E4C" w:rsidP="002065A4">
      <w:pPr>
        <w:pStyle w:val="NoSpacing"/>
        <w:numPr>
          <w:ilvl w:val="0"/>
          <w:numId w:val="18"/>
        </w:numPr>
        <w:rPr>
          <w:rFonts w:cs="Calibri"/>
          <w:sz w:val="20"/>
          <w:szCs w:val="20"/>
        </w:rPr>
      </w:pPr>
      <w:r w:rsidRPr="00624B6F">
        <w:rPr>
          <w:rFonts w:cs="Calibri"/>
          <w:sz w:val="20"/>
          <w:szCs w:val="20"/>
        </w:rPr>
        <w:t xml:space="preserve">Base case transmission requirements are 18,510 GW-mi at total cost of $26 billion, with emphasis on shorter lines.  Specifically, 57% of renewable energy is procured within 200 miles, 83% within 400 miles and 91% within 600 miles.  </w:t>
      </w:r>
    </w:p>
    <w:p w:rsidR="00FF5E4C" w:rsidRPr="00624B6F" w:rsidRDefault="00FF5E4C" w:rsidP="002065A4">
      <w:pPr>
        <w:pStyle w:val="NoSpacing"/>
        <w:numPr>
          <w:ilvl w:val="0"/>
          <w:numId w:val="18"/>
        </w:numPr>
        <w:rPr>
          <w:rFonts w:cs="Calibri"/>
          <w:sz w:val="20"/>
          <w:szCs w:val="20"/>
        </w:rPr>
      </w:pPr>
      <w:r w:rsidRPr="00624B6F">
        <w:rPr>
          <w:rFonts w:cs="Calibri"/>
          <w:sz w:val="20"/>
          <w:szCs w:val="20"/>
        </w:rPr>
        <w:t>Transmission expansion is driven largely by five load zones (Calgary, Los Angeles, San Francisco, Seattle and Vancouver) that account for 66% of the transmission GW-miles.  (Large demands, lack of more local resources)  Seattle procures some Oregon and Washington renewables, Nevada and Idaho geothermal and wind from Montana and Wyoming.  The Wyoming to Seattle transmission (over 1,000 miles) is the longest new line in the study.</w:t>
      </w:r>
    </w:p>
    <w:p w:rsidR="00FF5E4C" w:rsidRDefault="00FF5E4C" w:rsidP="002065A4">
      <w:pPr>
        <w:pStyle w:val="NoSpacing"/>
        <w:numPr>
          <w:ilvl w:val="0"/>
          <w:numId w:val="18"/>
        </w:numPr>
        <w:rPr>
          <w:rFonts w:cs="Calibri"/>
          <w:sz w:val="20"/>
          <w:szCs w:val="20"/>
        </w:rPr>
      </w:pPr>
      <w:r w:rsidRPr="00624B6F">
        <w:rPr>
          <w:rFonts w:cs="Calibri"/>
          <w:sz w:val="20"/>
          <w:szCs w:val="20"/>
        </w:rPr>
        <w:t xml:space="preserve">Transmission and line losses </w:t>
      </w:r>
      <w:r w:rsidRPr="00624B6F">
        <w:rPr>
          <w:rFonts w:cs="Calibri"/>
          <w:sz w:val="20"/>
          <w:szCs w:val="20"/>
          <w:u w:val="single"/>
        </w:rPr>
        <w:t>average</w:t>
      </w:r>
      <w:r w:rsidRPr="00624B6F">
        <w:rPr>
          <w:rFonts w:cs="Calibri"/>
          <w:sz w:val="20"/>
          <w:szCs w:val="20"/>
        </w:rPr>
        <w:t xml:space="preserve"> 15% of total average delivered cost.  Integration adds just 2%.    However, in the Seattle example above, allocated transmission/losses account for a full 55% of the delivered costs.  A footnote refers to preliminary work looking at undersized transmission with resource area storage having potential to reduce overall costs. </w:t>
      </w:r>
    </w:p>
    <w:p w:rsidR="00FF5E4C" w:rsidRPr="00624B6F" w:rsidRDefault="00FF5E4C" w:rsidP="00210AEA">
      <w:pPr>
        <w:pStyle w:val="NoSpacing"/>
        <w:numPr>
          <w:ilvl w:val="0"/>
          <w:numId w:val="18"/>
        </w:numPr>
        <w:rPr>
          <w:rFonts w:cs="Calibri"/>
          <w:sz w:val="20"/>
          <w:szCs w:val="20"/>
        </w:rPr>
      </w:pPr>
      <w:r w:rsidRPr="00624B6F">
        <w:rPr>
          <w:rFonts w:cs="Calibri"/>
          <w:sz w:val="20"/>
          <w:szCs w:val="20"/>
        </w:rPr>
        <w:t xml:space="preserve">Renewable Energy Credits (RECs) cases </w:t>
      </w:r>
    </w:p>
    <w:p w:rsidR="00FF5E4C" w:rsidRPr="00624B6F" w:rsidRDefault="00FF5E4C" w:rsidP="00210AEA">
      <w:pPr>
        <w:pStyle w:val="NoSpacing"/>
        <w:numPr>
          <w:ilvl w:val="1"/>
          <w:numId w:val="18"/>
        </w:numPr>
        <w:rPr>
          <w:rFonts w:cs="Calibri"/>
          <w:sz w:val="20"/>
          <w:szCs w:val="20"/>
        </w:rPr>
      </w:pPr>
      <w:r w:rsidRPr="00624B6F">
        <w:rPr>
          <w:rFonts w:cs="Calibri"/>
          <w:sz w:val="20"/>
          <w:szCs w:val="20"/>
        </w:rPr>
        <w:t>Unrestricted trading of RECs (WECC REC case) resulted in unrealistic outcomes; some load zones would procure nearly 100% of their energy, selling off the RECs in excess of the 33% requirement.</w:t>
      </w:r>
    </w:p>
    <w:p w:rsidR="00FF5E4C" w:rsidRPr="00624B6F" w:rsidRDefault="00FF5E4C" w:rsidP="00210AEA">
      <w:pPr>
        <w:pStyle w:val="NoSpacing"/>
        <w:numPr>
          <w:ilvl w:val="1"/>
          <w:numId w:val="18"/>
        </w:numPr>
        <w:rPr>
          <w:rFonts w:cs="Calibri"/>
          <w:sz w:val="20"/>
          <w:szCs w:val="20"/>
        </w:rPr>
      </w:pPr>
      <w:r w:rsidRPr="00624B6F">
        <w:rPr>
          <w:rFonts w:cs="Calibri"/>
          <w:sz w:val="20"/>
          <w:szCs w:val="20"/>
        </w:rPr>
        <w:t>A limiting case (REC with limits case, no more than 33% of any one technology, no more than 50% RE in aggregate) had intuitive results:</w:t>
      </w:r>
    </w:p>
    <w:p w:rsidR="00FF5E4C" w:rsidRPr="00624B6F" w:rsidRDefault="00FF5E4C" w:rsidP="00210AEA">
      <w:pPr>
        <w:pStyle w:val="NoSpacing"/>
        <w:numPr>
          <w:ilvl w:val="2"/>
          <w:numId w:val="18"/>
        </w:numPr>
        <w:rPr>
          <w:rFonts w:cs="Calibri"/>
          <w:sz w:val="20"/>
          <w:szCs w:val="20"/>
        </w:rPr>
      </w:pPr>
      <w:r w:rsidRPr="00624B6F">
        <w:rPr>
          <w:rFonts w:cs="Calibri"/>
          <w:sz w:val="20"/>
          <w:szCs w:val="20"/>
        </w:rPr>
        <w:t>Load zones with high marginal RE costs (long lines) in the Base Case (Vancouver (lack of ITC), Seattle, San Francisco) tend to procure less and buy RECs from those zones enjoying access to lower cost RE</w:t>
      </w:r>
      <w:r>
        <w:rPr>
          <w:rFonts w:cs="Calibri"/>
          <w:sz w:val="20"/>
          <w:szCs w:val="20"/>
        </w:rPr>
        <w:t>.</w:t>
      </w:r>
      <w:r w:rsidRPr="00624B6F">
        <w:rPr>
          <w:rFonts w:cs="Calibri"/>
          <w:sz w:val="20"/>
          <w:szCs w:val="20"/>
        </w:rPr>
        <w:t xml:space="preserve"> </w:t>
      </w:r>
    </w:p>
    <w:p w:rsidR="00FF5E4C" w:rsidRPr="00624B6F" w:rsidRDefault="00FF5E4C" w:rsidP="00210AEA">
      <w:pPr>
        <w:pStyle w:val="NoSpacing"/>
        <w:numPr>
          <w:ilvl w:val="2"/>
          <w:numId w:val="18"/>
        </w:numPr>
        <w:rPr>
          <w:rFonts w:cs="Calibri"/>
          <w:sz w:val="20"/>
          <w:szCs w:val="20"/>
        </w:rPr>
      </w:pPr>
      <w:r w:rsidRPr="00624B6F">
        <w:rPr>
          <w:rFonts w:cs="Calibri"/>
          <w:sz w:val="20"/>
          <w:szCs w:val="20"/>
        </w:rPr>
        <w:t>Zones with access to diverse RE technologies have the greater opportunity to procure excess renewables and sell RECs (Los Angeles and to a lesser extent Phoenix and Portland)</w:t>
      </w:r>
      <w:r>
        <w:rPr>
          <w:rFonts w:cs="Calibri"/>
          <w:sz w:val="20"/>
          <w:szCs w:val="20"/>
        </w:rPr>
        <w:t>.</w:t>
      </w:r>
    </w:p>
    <w:p w:rsidR="00FF5E4C" w:rsidRPr="00624B6F" w:rsidRDefault="00FF5E4C" w:rsidP="00210AEA">
      <w:pPr>
        <w:pStyle w:val="NoSpacing"/>
        <w:numPr>
          <w:ilvl w:val="2"/>
          <w:numId w:val="18"/>
        </w:numPr>
        <w:rPr>
          <w:rFonts w:cs="Calibri"/>
          <w:sz w:val="20"/>
          <w:szCs w:val="20"/>
        </w:rPr>
      </w:pPr>
      <w:r w:rsidRPr="00624B6F">
        <w:rPr>
          <w:rFonts w:cs="Calibri"/>
          <w:sz w:val="20"/>
          <w:szCs w:val="20"/>
        </w:rPr>
        <w:t>Single technology load zones (Denver – wind) were capped by the definition of the case</w:t>
      </w:r>
      <w:r>
        <w:rPr>
          <w:rFonts w:cs="Calibri"/>
          <w:sz w:val="20"/>
          <w:szCs w:val="20"/>
        </w:rPr>
        <w:t>.</w:t>
      </w:r>
    </w:p>
    <w:p w:rsidR="00FF5E4C" w:rsidRDefault="00FF5E4C" w:rsidP="00375E39">
      <w:pPr>
        <w:pStyle w:val="NoSpacing"/>
        <w:jc w:val="both"/>
        <w:rPr>
          <w:rStyle w:val="Strong"/>
        </w:rPr>
      </w:pPr>
    </w:p>
    <w:p w:rsidR="00FF5E4C" w:rsidRPr="00590643" w:rsidRDefault="00FF5E4C" w:rsidP="00284425">
      <w:pPr>
        <w:pStyle w:val="NoSpacing"/>
        <w:rPr>
          <w:rFonts w:cs="Calibri"/>
          <w:sz w:val="20"/>
          <w:szCs w:val="20"/>
          <w:u w:val="single"/>
        </w:rPr>
      </w:pPr>
      <w:r w:rsidRPr="00590643">
        <w:rPr>
          <w:rFonts w:cs="Calibri"/>
          <w:sz w:val="20"/>
          <w:szCs w:val="20"/>
          <w:u w:val="single"/>
        </w:rPr>
        <w:t>California Study</w:t>
      </w:r>
    </w:p>
    <w:p w:rsidR="00FF5E4C" w:rsidRPr="001C3803" w:rsidRDefault="00FF5E4C" w:rsidP="00284425">
      <w:pPr>
        <w:pStyle w:val="NoSpacing"/>
      </w:pPr>
      <w:r w:rsidRPr="001C3803">
        <w:rPr>
          <w:rFonts w:cs="Calibri"/>
          <w:sz w:val="20"/>
          <w:szCs w:val="20"/>
        </w:rPr>
        <w:t>LBNL also performed a specific study for California using the California Renewable Energy Zone framework for analysis.</w:t>
      </w:r>
      <w:r w:rsidRPr="001C3803">
        <w:t xml:space="preserve">  </w:t>
      </w:r>
    </w:p>
    <w:p w:rsidR="00FF5E4C" w:rsidRDefault="00FF5E4C" w:rsidP="00284425">
      <w:pPr>
        <w:pStyle w:val="NoSpacing"/>
      </w:pPr>
    </w:p>
    <w:p w:rsidR="00FF5E4C" w:rsidRPr="00210AEA" w:rsidRDefault="00FF5E4C" w:rsidP="00284425">
      <w:pPr>
        <w:pStyle w:val="NoSpacing"/>
        <w:rPr>
          <w:sz w:val="20"/>
          <w:szCs w:val="20"/>
        </w:rPr>
      </w:pPr>
      <w:r w:rsidRPr="001C3803">
        <w:rPr>
          <w:sz w:val="20"/>
          <w:szCs w:val="20"/>
          <w:u w:val="single"/>
        </w:rPr>
        <w:t>Results</w:t>
      </w:r>
      <w:r w:rsidRPr="00210AEA">
        <w:rPr>
          <w:sz w:val="20"/>
          <w:szCs w:val="20"/>
        </w:rPr>
        <w:t>:</w:t>
      </w:r>
    </w:p>
    <w:p w:rsidR="00FF5E4C" w:rsidRPr="00210AEA" w:rsidRDefault="00FF5E4C" w:rsidP="00284425">
      <w:pPr>
        <w:pStyle w:val="NoSpacing"/>
        <w:rPr>
          <w:sz w:val="20"/>
          <w:szCs w:val="20"/>
        </w:rPr>
      </w:pPr>
      <w:r w:rsidRPr="00210AEA">
        <w:rPr>
          <w:sz w:val="20"/>
          <w:szCs w:val="20"/>
        </w:rPr>
        <w:t xml:space="preserve">In this study </w:t>
      </w:r>
      <w:r>
        <w:rPr>
          <w:sz w:val="20"/>
          <w:szCs w:val="20"/>
        </w:rPr>
        <w:t xml:space="preserve">California </w:t>
      </w:r>
      <w:r w:rsidRPr="00210AEA">
        <w:rPr>
          <w:sz w:val="20"/>
          <w:szCs w:val="20"/>
        </w:rPr>
        <w:t>in-state wind resources are shown to be the most cost-effective; however, there is significantly more solar potential than wind potential in California.</w:t>
      </w:r>
    </w:p>
    <w:p w:rsidR="00FF5E4C" w:rsidRPr="00210AEA" w:rsidRDefault="00FF5E4C" w:rsidP="00284425">
      <w:pPr>
        <w:pStyle w:val="NoSpacing"/>
        <w:rPr>
          <w:rFonts w:cs="Calibri"/>
          <w:sz w:val="20"/>
          <w:szCs w:val="20"/>
          <w:u w:val="single"/>
        </w:rPr>
      </w:pPr>
    </w:p>
    <w:p w:rsidR="00FF5E4C" w:rsidRPr="00210AEA" w:rsidRDefault="00FF5E4C" w:rsidP="00AA478F">
      <w:pPr>
        <w:pStyle w:val="NoSpacing"/>
        <w:rPr>
          <w:sz w:val="20"/>
          <w:szCs w:val="20"/>
        </w:rPr>
      </w:pPr>
      <w:r w:rsidRPr="00210AEA">
        <w:rPr>
          <w:sz w:val="20"/>
          <w:szCs w:val="20"/>
        </w:rPr>
        <w:t>A comparison of in-state vs. out-of-state supply curves indicates that in-state resources are more cost-effective; however, the potential maxes out at about 160,000 GWh.</w:t>
      </w:r>
    </w:p>
    <w:p w:rsidR="00FF5E4C" w:rsidRDefault="00FF5E4C" w:rsidP="00AA478F">
      <w:pPr>
        <w:pStyle w:val="NoSpacing"/>
        <w:jc w:val="both"/>
        <w:rPr>
          <w:rStyle w:val="Strong"/>
        </w:rPr>
      </w:pPr>
    </w:p>
    <w:p w:rsidR="00FF5E4C" w:rsidRPr="006A5DF6" w:rsidRDefault="00FF5E4C" w:rsidP="00B51B86">
      <w:pPr>
        <w:pStyle w:val="NoSpacing"/>
        <w:jc w:val="both"/>
        <w:rPr>
          <w:rStyle w:val="Strong"/>
          <w:sz w:val="24"/>
          <w:szCs w:val="24"/>
        </w:rPr>
      </w:pPr>
    </w:p>
    <w:p w:rsidR="00FF5E4C" w:rsidRPr="006A5DF6" w:rsidRDefault="00FF5E4C" w:rsidP="00B51B86">
      <w:pPr>
        <w:spacing w:after="0" w:line="240" w:lineRule="auto"/>
        <w:rPr>
          <w:sz w:val="24"/>
          <w:szCs w:val="24"/>
        </w:rPr>
      </w:pPr>
      <w:r w:rsidRPr="006A5DF6">
        <w:rPr>
          <w:b/>
          <w:sz w:val="24"/>
          <w:szCs w:val="24"/>
        </w:rPr>
        <w:t>Operational Challenges with Wind Resources</w:t>
      </w:r>
    </w:p>
    <w:p w:rsidR="00FF5E4C" w:rsidRPr="006A5DF6" w:rsidRDefault="00FF5E4C" w:rsidP="00B51B86">
      <w:pPr>
        <w:pStyle w:val="NoSpacing"/>
        <w:jc w:val="both"/>
        <w:rPr>
          <w:rFonts w:cs="Calibri"/>
          <w:color w:val="000000"/>
          <w:sz w:val="24"/>
          <w:szCs w:val="24"/>
        </w:rPr>
      </w:pPr>
    </w:p>
    <w:p w:rsidR="00FF5E4C" w:rsidRPr="00B51B86" w:rsidRDefault="00FF5E4C" w:rsidP="00B51B86">
      <w:pPr>
        <w:pStyle w:val="NoSpacing"/>
        <w:rPr>
          <w:sz w:val="20"/>
          <w:szCs w:val="20"/>
        </w:rPr>
      </w:pPr>
      <w:r w:rsidRPr="00B51B86">
        <w:rPr>
          <w:sz w:val="20"/>
          <w:szCs w:val="20"/>
        </w:rPr>
        <w:t>In addition to transmission access to remote wind resources, there are operational issues having to do with scheduling and balancing the variable generation when the host BA is not the sink LSE.  These are primarily associated with which BA will supply the within hour balancing obligation (regulation, load following and contingency reserves) for the transaction. This within hour balancing obligation is necessary to cover the normal variation of wind generation as well as abrupt changes in generation such as what can occur when the wind generation trips off line due to high speed cutout.  Looking generically at physical limitations, the problem exists particularly during peak load conditions when available resources are often fully committed to serve load and their availability for within hour balancing is limited and during off-peak conditions when constraints on river operations (e.g., minimum flows, spill, fish flush and other environmental constraints) restrict the amount of generation available to ramp in response to wind variability.  Different BAs may be differently impacted by these problems.</w:t>
      </w:r>
    </w:p>
    <w:p w:rsidR="00FF5E4C" w:rsidRPr="00B51B86" w:rsidRDefault="00FF5E4C" w:rsidP="00B51B86">
      <w:pPr>
        <w:pStyle w:val="NoSpacing"/>
        <w:rPr>
          <w:sz w:val="20"/>
          <w:szCs w:val="20"/>
        </w:rPr>
      </w:pPr>
    </w:p>
    <w:p w:rsidR="00FF5E4C" w:rsidRPr="00B51B86" w:rsidRDefault="00FF5E4C" w:rsidP="00B51B86">
      <w:pPr>
        <w:pStyle w:val="NoSpacing"/>
        <w:rPr>
          <w:sz w:val="20"/>
          <w:szCs w:val="20"/>
        </w:rPr>
      </w:pPr>
      <w:r w:rsidRPr="00B51B86">
        <w:rPr>
          <w:sz w:val="20"/>
          <w:szCs w:val="20"/>
        </w:rPr>
        <w:t xml:space="preserve">BAs are responsible to make sure the current FERC OATT and NERC standards on CPS1 and CPS2 are met.  Utilities in the region are discussing the roles and responsibilities of the sink and host BAs with respect to who needs to deploy the required balancing resources to meet the wind variability and under what conditions BAs could count on using the contingency reserves for such variability.  Currently Bonneville is carrying a pre-determined amount of balancing resources for wind variability as determined in its rate case process. Bonneville triggers a schedule curtailment when it deploys 100% of those set aside reserves.       </w:t>
      </w:r>
    </w:p>
    <w:p w:rsidR="00FF5E4C" w:rsidRPr="00B51B86" w:rsidRDefault="00FF5E4C" w:rsidP="00B51B86">
      <w:pPr>
        <w:pStyle w:val="NoSpacing"/>
        <w:rPr>
          <w:sz w:val="20"/>
          <w:szCs w:val="20"/>
        </w:rPr>
      </w:pPr>
    </w:p>
    <w:p w:rsidR="00FF5E4C" w:rsidRPr="00B51B86" w:rsidRDefault="00FF5E4C" w:rsidP="00B51B86">
      <w:pPr>
        <w:pStyle w:val="NoSpacing"/>
        <w:rPr>
          <w:sz w:val="20"/>
          <w:szCs w:val="20"/>
        </w:rPr>
      </w:pPr>
      <w:r w:rsidRPr="00B51B86">
        <w:rPr>
          <w:sz w:val="20"/>
          <w:szCs w:val="20"/>
        </w:rPr>
        <w:t xml:space="preserve">One mechanism for addressing this problem is dynamic transfers, which allow the within-hour balancing obligation to be deployed by the BA receiving the wind generation.  There are two Northwest efforts aimed at facilitating dynamic transfers.  The Joint Initiative is developing a platform (Dynamic Scheduling System, DSS) to make it relatively easy to set up dynamic transfers between willing BAs.  WIST is supporting the second, complementary effort, developing an analytical method and common methodology that can be used by regional transmission operators determine dynamic transfer limits within the individual areas and between BAs. </w:t>
      </w:r>
    </w:p>
    <w:p w:rsidR="00FF5E4C" w:rsidRPr="00B51B86" w:rsidRDefault="00FF5E4C" w:rsidP="00B51B86">
      <w:pPr>
        <w:pStyle w:val="NoSpacing"/>
        <w:rPr>
          <w:sz w:val="20"/>
          <w:szCs w:val="20"/>
        </w:rPr>
      </w:pPr>
    </w:p>
    <w:p w:rsidR="00FF5E4C" w:rsidRPr="00B51B86" w:rsidRDefault="00FF5E4C" w:rsidP="00B51B86">
      <w:pPr>
        <w:pStyle w:val="NoSpacing"/>
        <w:rPr>
          <w:sz w:val="20"/>
          <w:szCs w:val="20"/>
        </w:rPr>
      </w:pPr>
      <w:r w:rsidRPr="00B51B86">
        <w:rPr>
          <w:sz w:val="20"/>
          <w:szCs w:val="20"/>
        </w:rPr>
        <w:t xml:space="preserve">BC Hydro and Bonneville studies have indicated that there can be voltage control, regulating equipment over-duty, and reliability issues resulting from frequent and large regulation and load following flow changes across systems. While some paths now have portions of their TTC reserved for dynamic schedules, the level of dynamic schedules is usually small in comparison to the total path limit and is based on traditional schedule variations. With large amounts of wind generation and the resulting regulation and load following requirements, it is uncertain whether or not there is adequate dynamic transfer capability on the system. WIST is also working to identify the facility additions or operational changes necessary to increase these limits where necessary. </w:t>
      </w:r>
    </w:p>
    <w:p w:rsidR="00FF5E4C" w:rsidRPr="00B51B86" w:rsidRDefault="00FF5E4C" w:rsidP="00B51B86">
      <w:pPr>
        <w:pStyle w:val="NoSpacing"/>
        <w:rPr>
          <w:sz w:val="20"/>
          <w:szCs w:val="20"/>
        </w:rPr>
      </w:pPr>
    </w:p>
    <w:p w:rsidR="00FF5E4C" w:rsidRPr="00B51B86" w:rsidRDefault="00FF5E4C" w:rsidP="00B51B86">
      <w:pPr>
        <w:pStyle w:val="NoSpacing"/>
        <w:rPr>
          <w:b/>
        </w:rPr>
      </w:pPr>
      <w:r w:rsidRPr="00B51B86">
        <w:rPr>
          <w:b/>
        </w:rPr>
        <w:t>Bonneville work on DTC</w:t>
      </w:r>
    </w:p>
    <w:p w:rsidR="00FF5E4C" w:rsidRPr="00B51B86" w:rsidRDefault="00FF5E4C" w:rsidP="00B51B86">
      <w:pPr>
        <w:pStyle w:val="NoSpacing"/>
        <w:rPr>
          <w:sz w:val="20"/>
          <w:szCs w:val="20"/>
        </w:rPr>
      </w:pPr>
    </w:p>
    <w:p w:rsidR="00FF5E4C" w:rsidRPr="00B51B86" w:rsidRDefault="00FF5E4C" w:rsidP="00B51B86">
      <w:pPr>
        <w:pStyle w:val="NoSpacing"/>
        <w:rPr>
          <w:sz w:val="20"/>
          <w:szCs w:val="20"/>
        </w:rPr>
      </w:pPr>
      <w:r w:rsidRPr="00B51B86">
        <w:rPr>
          <w:sz w:val="20"/>
          <w:szCs w:val="20"/>
        </w:rPr>
        <w:t>The dynamic transfer limit study by Bonneville had three steps:</w:t>
      </w:r>
    </w:p>
    <w:p w:rsidR="00FF5E4C" w:rsidRPr="00B51B86" w:rsidRDefault="00FF5E4C" w:rsidP="00B51B86">
      <w:pPr>
        <w:pStyle w:val="NoSpacing"/>
        <w:rPr>
          <w:sz w:val="20"/>
          <w:szCs w:val="20"/>
        </w:rPr>
      </w:pPr>
    </w:p>
    <w:p w:rsidR="00FF5E4C" w:rsidRPr="00B51B86" w:rsidRDefault="00FF5E4C" w:rsidP="00B51B86">
      <w:pPr>
        <w:pStyle w:val="NoSpacing"/>
        <w:rPr>
          <w:sz w:val="20"/>
          <w:szCs w:val="20"/>
        </w:rPr>
      </w:pPr>
      <w:r w:rsidRPr="00B51B86">
        <w:rPr>
          <w:sz w:val="20"/>
          <w:szCs w:val="20"/>
        </w:rPr>
        <w:t xml:space="preserve">Identify wind characteristics (within-hour ramp magnitudes and frequencies) in various areas in the NW system and identify dynamic control device characteristics (regulation, voltage, RAS, etc.) as they effect flow gates and scheduled paths </w:t>
      </w:r>
    </w:p>
    <w:p w:rsidR="00FF5E4C" w:rsidRPr="00B51B86" w:rsidRDefault="00FF5E4C" w:rsidP="00B51B86">
      <w:pPr>
        <w:pStyle w:val="NoSpacing"/>
        <w:rPr>
          <w:sz w:val="20"/>
          <w:szCs w:val="20"/>
        </w:rPr>
      </w:pPr>
      <w:r w:rsidRPr="00B51B86">
        <w:rPr>
          <w:sz w:val="20"/>
          <w:szCs w:val="20"/>
        </w:rPr>
        <w:t xml:space="preserve">Perform analysis on representative flow gates to see how control devices operate within the hour in response to regulation and ancillary service requirements across these flow gates. </w:t>
      </w:r>
    </w:p>
    <w:p w:rsidR="00FF5E4C" w:rsidRPr="00B51B86" w:rsidRDefault="00FF5E4C" w:rsidP="00B51B86">
      <w:pPr>
        <w:pStyle w:val="NoSpacing"/>
        <w:rPr>
          <w:sz w:val="20"/>
          <w:szCs w:val="20"/>
        </w:rPr>
      </w:pPr>
      <w:r w:rsidRPr="00B51B86">
        <w:rPr>
          <w:sz w:val="20"/>
          <w:szCs w:val="20"/>
        </w:rPr>
        <w:t xml:space="preserve">Establish criteria and dynamic limits for paths (both scheduled between and internal to Balancing Areas) to keep the system reliable. Develop a priority list of paths. Analyze, and recommend any dynamic schedule limits for other and additional paths/flow gates. </w:t>
      </w:r>
    </w:p>
    <w:p w:rsidR="00FF5E4C" w:rsidRPr="00B51B86" w:rsidRDefault="00FF5E4C" w:rsidP="00B51B86">
      <w:pPr>
        <w:pStyle w:val="NoSpacing"/>
        <w:rPr>
          <w:sz w:val="20"/>
          <w:szCs w:val="20"/>
        </w:rPr>
      </w:pPr>
    </w:p>
    <w:p w:rsidR="00FF5E4C" w:rsidRPr="00B51B86" w:rsidRDefault="00FF5E4C" w:rsidP="00B51B86">
      <w:pPr>
        <w:pStyle w:val="NoSpacing"/>
        <w:rPr>
          <w:sz w:val="20"/>
          <w:szCs w:val="20"/>
        </w:rPr>
      </w:pPr>
      <w:r w:rsidRPr="00B51B86">
        <w:rPr>
          <w:sz w:val="20"/>
          <w:szCs w:val="20"/>
        </w:rPr>
        <w:t>The initial method used simplifying assumptions and linearized power flow calculations to estimate limits.  This made the problem workable within the WIST timeline.  It produced conservative limits which may need to be refined at a later time.  Simplifying assumptions included:</w:t>
      </w:r>
    </w:p>
    <w:p w:rsidR="00FF5E4C" w:rsidRPr="00B51B86" w:rsidRDefault="00FF5E4C" w:rsidP="00B51B86">
      <w:pPr>
        <w:pStyle w:val="NoSpacing"/>
        <w:rPr>
          <w:sz w:val="20"/>
          <w:szCs w:val="20"/>
        </w:rPr>
      </w:pPr>
    </w:p>
    <w:p w:rsidR="00FF5E4C" w:rsidRPr="00B51B86" w:rsidRDefault="00FF5E4C" w:rsidP="00B51B86">
      <w:pPr>
        <w:pStyle w:val="NoSpacing"/>
        <w:rPr>
          <w:sz w:val="20"/>
          <w:szCs w:val="20"/>
        </w:rPr>
      </w:pPr>
      <w:r w:rsidRPr="00B51B86">
        <w:rPr>
          <w:sz w:val="20"/>
          <w:szCs w:val="20"/>
        </w:rPr>
        <w:t>Dynamic schedules allowed will not require additional dispatcher workload within the hour</w:t>
      </w:r>
    </w:p>
    <w:p w:rsidR="00FF5E4C" w:rsidRPr="00B51B86" w:rsidRDefault="00FF5E4C" w:rsidP="00B51B86">
      <w:pPr>
        <w:pStyle w:val="NoSpacing"/>
        <w:rPr>
          <w:sz w:val="20"/>
          <w:szCs w:val="20"/>
        </w:rPr>
      </w:pPr>
      <w:r w:rsidRPr="00B51B86">
        <w:rPr>
          <w:sz w:val="20"/>
          <w:szCs w:val="20"/>
        </w:rPr>
        <w:t>A full range ramp could occur every 4 seconds</w:t>
      </w:r>
    </w:p>
    <w:p w:rsidR="00FF5E4C" w:rsidRPr="00B51B86" w:rsidRDefault="00FF5E4C" w:rsidP="00B51B86">
      <w:pPr>
        <w:pStyle w:val="NoSpacing"/>
        <w:rPr>
          <w:sz w:val="20"/>
          <w:szCs w:val="20"/>
        </w:rPr>
      </w:pPr>
      <w:r w:rsidRPr="00B51B86">
        <w:rPr>
          <w:sz w:val="20"/>
          <w:szCs w:val="20"/>
        </w:rPr>
        <w:t>Ramps are limited to within RAS arming bandwidth</w:t>
      </w:r>
    </w:p>
    <w:p w:rsidR="00FF5E4C" w:rsidRPr="00B51B86" w:rsidRDefault="00FF5E4C" w:rsidP="00B51B86">
      <w:pPr>
        <w:pStyle w:val="NoSpacing"/>
        <w:rPr>
          <w:sz w:val="20"/>
          <w:szCs w:val="20"/>
        </w:rPr>
      </w:pPr>
      <w:r w:rsidRPr="00B51B86">
        <w:rPr>
          <w:sz w:val="20"/>
          <w:szCs w:val="20"/>
        </w:rPr>
        <w:t>The maximum voltage change variation allowed is 5kV on the 500 kV system, 2kV on the 230 kV system and 1 kV on the 115 kV system and it is assumed that manual control changes of taps or other devices will not be made (most voltage control is currently manually operated)</w:t>
      </w:r>
    </w:p>
    <w:p w:rsidR="00FF5E4C" w:rsidRPr="00B51B86" w:rsidRDefault="00FF5E4C" w:rsidP="00B51B86">
      <w:pPr>
        <w:pStyle w:val="NoSpacing"/>
        <w:rPr>
          <w:sz w:val="20"/>
          <w:szCs w:val="20"/>
        </w:rPr>
      </w:pPr>
      <w:r w:rsidRPr="00B51B86">
        <w:rPr>
          <w:sz w:val="20"/>
          <w:szCs w:val="20"/>
        </w:rPr>
        <w:t>No SOL violations within the hour</w:t>
      </w:r>
    </w:p>
    <w:p w:rsidR="00FF5E4C" w:rsidRPr="00B51B86" w:rsidRDefault="00FF5E4C" w:rsidP="00B51B86">
      <w:pPr>
        <w:pStyle w:val="NoSpacing"/>
        <w:rPr>
          <w:sz w:val="20"/>
          <w:szCs w:val="20"/>
        </w:rPr>
      </w:pPr>
      <w:r w:rsidRPr="00B51B86">
        <w:rPr>
          <w:sz w:val="20"/>
          <w:szCs w:val="20"/>
        </w:rPr>
        <w:t xml:space="preserve">Voltage stability limits are not exceeded  </w:t>
      </w:r>
    </w:p>
    <w:p w:rsidR="00FF5E4C" w:rsidRPr="00B51B86" w:rsidRDefault="00FF5E4C" w:rsidP="00B51B86">
      <w:pPr>
        <w:pStyle w:val="NoSpacing"/>
        <w:rPr>
          <w:sz w:val="20"/>
          <w:szCs w:val="20"/>
        </w:rPr>
      </w:pPr>
    </w:p>
    <w:p w:rsidR="00FF5E4C" w:rsidRPr="00B51B86" w:rsidRDefault="00FF5E4C" w:rsidP="00B51B86">
      <w:pPr>
        <w:pStyle w:val="NoSpacing"/>
        <w:rPr>
          <w:sz w:val="20"/>
          <w:szCs w:val="20"/>
        </w:rPr>
      </w:pPr>
      <w:r w:rsidRPr="00B51B86">
        <w:rPr>
          <w:sz w:val="20"/>
          <w:szCs w:val="20"/>
        </w:rPr>
        <w:t xml:space="preserve">The study developed initial limits, and while higher than measured variability on the paths, some of these limits are below the limits currently in use.  Bonneville is moving forward with a dynamic transfer pilot project to further explore operating issues.  Bonneville heard concerns from customers on its methodology and the limited DTC being available on the system.  Bonneville reached out to various organizations in the Northwest and it was decided to use WIST as a forum for further discussion and to develop recommend actions.  WIST created the Dynamic Transfer Capability (DTC) Task Force to further explore Bonneville’s methodology and propose a common methodology to be used in the region for calculating DTC limits.  Membership in the DTC Task Force consists primarily of technical operations engineers from throughout the region.  </w:t>
      </w:r>
    </w:p>
    <w:p w:rsidR="00FF5E4C" w:rsidRPr="00FE3C64" w:rsidRDefault="00FF5E4C" w:rsidP="00B51B86">
      <w:pPr>
        <w:pStyle w:val="NoSpacing"/>
        <w:jc w:val="both"/>
        <w:rPr>
          <w:rFonts w:ascii="Times New Roman" w:hAnsi="Times New Roman"/>
          <w:color w:val="FF0000"/>
          <w:sz w:val="12"/>
          <w:szCs w:val="24"/>
        </w:rPr>
      </w:pPr>
    </w:p>
    <w:p w:rsidR="00FF5E4C" w:rsidRDefault="00FF5E4C" w:rsidP="00AA478F">
      <w:pPr>
        <w:spacing w:after="0" w:line="240" w:lineRule="auto"/>
        <w:rPr>
          <w:b/>
        </w:rPr>
      </w:pPr>
    </w:p>
    <w:p w:rsidR="00FF5E4C" w:rsidRDefault="00FF5E4C" w:rsidP="00AA478F">
      <w:pPr>
        <w:spacing w:after="0" w:line="240" w:lineRule="auto"/>
        <w:rPr>
          <w:b/>
        </w:rPr>
      </w:pPr>
      <w:r w:rsidRPr="00AA478F">
        <w:rPr>
          <w:b/>
        </w:rPr>
        <w:t>NPCC Sixth Plan Analysis</w:t>
      </w:r>
    </w:p>
    <w:p w:rsidR="00FF5E4C" w:rsidRPr="00AA478F" w:rsidRDefault="00FF5E4C" w:rsidP="00AA478F">
      <w:pPr>
        <w:spacing w:after="0" w:line="240" w:lineRule="auto"/>
        <w:rPr>
          <w:b/>
        </w:rPr>
      </w:pPr>
    </w:p>
    <w:p w:rsidR="00FF5E4C" w:rsidRDefault="00FF5E4C" w:rsidP="00611CAD">
      <w:pPr>
        <w:spacing w:after="0" w:line="240" w:lineRule="auto"/>
        <w:jc w:val="both"/>
        <w:rPr>
          <w:sz w:val="20"/>
          <w:szCs w:val="20"/>
        </w:rPr>
      </w:pPr>
      <w:r w:rsidRPr="00282D1B">
        <w:rPr>
          <w:sz w:val="20"/>
          <w:szCs w:val="20"/>
        </w:rPr>
        <w:t>The Council’s Sixth Power Plan analyzed the issue of the economics of local vs. remote wind and concluded that</w:t>
      </w:r>
      <w:r>
        <w:rPr>
          <w:sz w:val="20"/>
          <w:szCs w:val="20"/>
        </w:rPr>
        <w:t>, due to the cost of the added transmission (evaluated at the full cost of new transmission increments, except for limited amounts of Montana wind available for less investment than a new line), the gap between capacity factors of the remote Montana or Wyoming wind and those of Columbia Gorge wind was not sufficient to swing the decision in favor of remote wind.  This is described further in Appendix E.</w:t>
      </w:r>
    </w:p>
    <w:p w:rsidR="00FF5E4C" w:rsidRDefault="00FF5E4C" w:rsidP="00375E39">
      <w:pPr>
        <w:pStyle w:val="NoSpacing"/>
        <w:jc w:val="both"/>
        <w:rPr>
          <w:rStyle w:val="Strong"/>
        </w:rPr>
      </w:pPr>
    </w:p>
    <w:p w:rsidR="00FF5E4C" w:rsidRDefault="00FF5E4C" w:rsidP="00375E39">
      <w:pPr>
        <w:pStyle w:val="NoSpacing"/>
        <w:jc w:val="both"/>
        <w:rPr>
          <w:rStyle w:val="Strong"/>
        </w:rPr>
      </w:pPr>
    </w:p>
    <w:p w:rsidR="00FF5E4C" w:rsidRPr="00FE438D" w:rsidRDefault="00FF5E4C" w:rsidP="00375E39">
      <w:pPr>
        <w:pStyle w:val="NoSpacing"/>
        <w:jc w:val="both"/>
        <w:rPr>
          <w:rStyle w:val="Strong"/>
        </w:rPr>
      </w:pPr>
      <w:r w:rsidRPr="00FE438D">
        <w:rPr>
          <w:rStyle w:val="Strong"/>
        </w:rPr>
        <w:t xml:space="preserve">TEPPC 2009 Study Concerning Local/Remote Issue </w:t>
      </w:r>
    </w:p>
    <w:p w:rsidR="00FF5E4C" w:rsidRDefault="00FF5E4C" w:rsidP="00375E39">
      <w:pPr>
        <w:pStyle w:val="NoSpacing"/>
        <w:jc w:val="both"/>
        <w:rPr>
          <w:szCs w:val="20"/>
        </w:rPr>
      </w:pPr>
    </w:p>
    <w:p w:rsidR="00FF5E4C" w:rsidRPr="007F3A91" w:rsidRDefault="00FF5E4C" w:rsidP="00375E39">
      <w:pPr>
        <w:pStyle w:val="NoSpacing"/>
        <w:jc w:val="both"/>
        <w:rPr>
          <w:rFonts w:cs="Calibri"/>
          <w:color w:val="000000"/>
          <w:sz w:val="20"/>
          <w:szCs w:val="20"/>
        </w:rPr>
      </w:pPr>
      <w:r>
        <w:rPr>
          <w:rFonts w:cs="Calibri"/>
          <w:color w:val="000000"/>
          <w:sz w:val="20"/>
          <w:szCs w:val="20"/>
        </w:rPr>
        <w:t>TEPPC’s 2009 Study Report included a comparison of developing local generation in Oregon and Washington against remote generation and transmission to the NW of generation developed in Montana/Wyoming and Alberta/British Columbia).  This study analyzed models for t</w:t>
      </w:r>
      <w:r w:rsidRPr="007F3A91">
        <w:rPr>
          <w:rFonts w:cs="Calibri"/>
          <w:color w:val="000000"/>
          <w:sz w:val="20"/>
          <w:szCs w:val="20"/>
        </w:rPr>
        <w:t xml:space="preserve">he </w:t>
      </w:r>
      <w:r>
        <w:rPr>
          <w:rFonts w:cs="Calibri"/>
          <w:color w:val="000000"/>
          <w:sz w:val="20"/>
          <w:szCs w:val="20"/>
        </w:rPr>
        <w:t>year 2019.  The Wyoming/Montana results were compared with Oregon/Washington development.</w:t>
      </w:r>
    </w:p>
    <w:p w:rsidR="00FF5E4C" w:rsidRPr="007F3A91" w:rsidRDefault="00FF5E4C" w:rsidP="00375E39">
      <w:pPr>
        <w:pStyle w:val="NoSpacing"/>
        <w:rPr>
          <w:rFonts w:cs="Calibri"/>
          <w:color w:val="000000"/>
          <w:sz w:val="20"/>
          <w:szCs w:val="20"/>
        </w:rPr>
      </w:pPr>
    </w:p>
    <w:p w:rsidR="00FF5E4C" w:rsidRDefault="00FF5E4C" w:rsidP="00375E39">
      <w:pPr>
        <w:pStyle w:val="NoSpacing"/>
        <w:jc w:val="both"/>
        <w:rPr>
          <w:rFonts w:cs="Calibri"/>
          <w:color w:val="000000"/>
          <w:sz w:val="20"/>
          <w:szCs w:val="20"/>
        </w:rPr>
      </w:pPr>
      <w:r>
        <w:rPr>
          <w:rFonts w:cs="Calibri"/>
          <w:color w:val="000000"/>
          <w:sz w:val="20"/>
          <w:szCs w:val="20"/>
        </w:rPr>
        <w:t xml:space="preserve">The TEPPC Study found </w:t>
      </w:r>
      <w:r w:rsidRPr="007F3A91">
        <w:rPr>
          <w:rFonts w:cs="Calibri"/>
          <w:color w:val="000000"/>
          <w:sz w:val="20"/>
          <w:szCs w:val="20"/>
        </w:rPr>
        <w:t xml:space="preserve">that the cases with remote wind have lower overall costs than the case with Washington and Oregon wind.  </w:t>
      </w:r>
      <w:r>
        <w:rPr>
          <w:rFonts w:cs="Calibri"/>
          <w:color w:val="000000"/>
          <w:sz w:val="20"/>
          <w:szCs w:val="20"/>
        </w:rPr>
        <w:t>This analysis was performed in one set of studies comparing costs of the addition of the same generation capacity in each area (3000 MW), and another set comparing costs of the addition of the same energy amount in each area (6334 GWh).  The case with equal energy amounts required fewer wind turbines to be installed in Montana and Wyoming, so the c</w:t>
      </w:r>
      <w:r w:rsidRPr="007F3A91">
        <w:rPr>
          <w:rFonts w:cs="Calibri"/>
          <w:color w:val="000000"/>
          <w:sz w:val="20"/>
          <w:szCs w:val="20"/>
        </w:rPr>
        <w:t xml:space="preserve">apital costs for the remote wind generation facilities </w:t>
      </w:r>
      <w:r>
        <w:rPr>
          <w:rFonts w:cs="Calibri"/>
          <w:color w:val="000000"/>
          <w:sz w:val="20"/>
          <w:szCs w:val="20"/>
        </w:rPr>
        <w:t>were</w:t>
      </w:r>
      <w:r w:rsidRPr="007F3A91">
        <w:rPr>
          <w:rFonts w:cs="Calibri"/>
          <w:color w:val="000000"/>
          <w:sz w:val="20"/>
          <w:szCs w:val="20"/>
        </w:rPr>
        <w:t xml:space="preserve"> lower</w:t>
      </w:r>
      <w:r>
        <w:rPr>
          <w:rFonts w:cs="Calibri"/>
          <w:color w:val="000000"/>
          <w:sz w:val="20"/>
          <w:szCs w:val="20"/>
        </w:rPr>
        <w:t>,</w:t>
      </w:r>
      <w:r w:rsidRPr="007F3A91">
        <w:rPr>
          <w:rFonts w:cs="Calibri"/>
          <w:color w:val="000000"/>
          <w:sz w:val="20"/>
          <w:szCs w:val="20"/>
        </w:rPr>
        <w:t xml:space="preserve"> which, along with the production cost savings, could justify the additional cost of the transmission.  </w:t>
      </w:r>
      <w:r>
        <w:rPr>
          <w:rFonts w:cs="Calibri"/>
          <w:color w:val="000000"/>
          <w:sz w:val="20"/>
          <w:szCs w:val="20"/>
        </w:rPr>
        <w:t xml:space="preserve">   </w:t>
      </w:r>
    </w:p>
    <w:p w:rsidR="00FF5E4C" w:rsidRPr="007F3A91" w:rsidRDefault="00FF5E4C" w:rsidP="00375E39">
      <w:pPr>
        <w:pStyle w:val="NoSpacing"/>
        <w:jc w:val="both"/>
        <w:rPr>
          <w:rFonts w:cs="Calibri"/>
          <w:color w:val="000000"/>
          <w:sz w:val="20"/>
          <w:szCs w:val="20"/>
        </w:rPr>
      </w:pPr>
    </w:p>
    <w:p w:rsidR="00FF5E4C" w:rsidRDefault="00FF5E4C" w:rsidP="00375E39">
      <w:pPr>
        <w:pStyle w:val="NoSpacing"/>
        <w:jc w:val="both"/>
        <w:rPr>
          <w:rFonts w:cs="Calibri"/>
          <w:color w:val="000000"/>
          <w:sz w:val="20"/>
          <w:szCs w:val="20"/>
        </w:rPr>
      </w:pPr>
      <w:r>
        <w:rPr>
          <w:rFonts w:cs="Calibri"/>
          <w:color w:val="000000"/>
          <w:sz w:val="20"/>
          <w:szCs w:val="20"/>
        </w:rPr>
        <w:t>The TEPPC</w:t>
      </w:r>
      <w:r w:rsidRPr="007F3A91">
        <w:rPr>
          <w:rFonts w:cs="Calibri"/>
          <w:color w:val="000000"/>
          <w:sz w:val="20"/>
          <w:szCs w:val="20"/>
        </w:rPr>
        <w:t xml:space="preserve"> analysis </w:t>
      </w:r>
      <w:r>
        <w:rPr>
          <w:rFonts w:cs="Calibri"/>
          <w:color w:val="000000"/>
          <w:sz w:val="20"/>
          <w:szCs w:val="20"/>
        </w:rPr>
        <w:t>used NREL data that indicate</w:t>
      </w:r>
      <w:r w:rsidRPr="007F3A91">
        <w:rPr>
          <w:rFonts w:cs="Calibri"/>
          <w:color w:val="000000"/>
          <w:sz w:val="20"/>
          <w:szCs w:val="20"/>
        </w:rPr>
        <w:t xml:space="preserve"> the Oregon/Washington wind ha</w:t>
      </w:r>
      <w:r>
        <w:rPr>
          <w:rFonts w:cs="Calibri"/>
          <w:color w:val="000000"/>
          <w:sz w:val="20"/>
          <w:szCs w:val="20"/>
        </w:rPr>
        <w:t>ve</w:t>
      </w:r>
      <w:r w:rsidRPr="007F3A91">
        <w:rPr>
          <w:rFonts w:cs="Calibri"/>
          <w:color w:val="000000"/>
          <w:sz w:val="20"/>
          <w:szCs w:val="20"/>
        </w:rPr>
        <w:t xml:space="preserve"> an annual capacity factor of 24%</w:t>
      </w:r>
      <w:r>
        <w:rPr>
          <w:rFonts w:cs="Calibri"/>
          <w:color w:val="000000"/>
          <w:sz w:val="20"/>
          <w:szCs w:val="20"/>
        </w:rPr>
        <w:t>, which was the key factor in the differential turbine installations to get equal energy output from the local and remote sites</w:t>
      </w:r>
      <w:r w:rsidRPr="007F3A91">
        <w:rPr>
          <w:rFonts w:cs="Calibri"/>
          <w:color w:val="000000"/>
          <w:sz w:val="20"/>
          <w:szCs w:val="20"/>
        </w:rPr>
        <w:t xml:space="preserve">.  </w:t>
      </w:r>
      <w:r>
        <w:rPr>
          <w:rFonts w:cs="Calibri"/>
          <w:color w:val="000000"/>
          <w:sz w:val="20"/>
          <w:szCs w:val="20"/>
        </w:rPr>
        <w:t>New actual wind data supplied by BPA of actual operating Gorge wind turbines suggests that t</w:t>
      </w:r>
      <w:r w:rsidRPr="007F3A91">
        <w:rPr>
          <w:rFonts w:cs="Calibri"/>
          <w:color w:val="000000"/>
          <w:sz w:val="20"/>
          <w:szCs w:val="20"/>
        </w:rPr>
        <w:t xml:space="preserve">his value </w:t>
      </w:r>
      <w:r>
        <w:rPr>
          <w:rFonts w:cs="Calibri"/>
          <w:color w:val="000000"/>
          <w:sz w:val="20"/>
          <w:szCs w:val="20"/>
        </w:rPr>
        <w:t xml:space="preserve">is </w:t>
      </w:r>
      <w:r w:rsidRPr="007F3A91">
        <w:rPr>
          <w:rFonts w:cs="Calibri"/>
          <w:color w:val="000000"/>
          <w:sz w:val="20"/>
          <w:szCs w:val="20"/>
        </w:rPr>
        <w:t>low</w:t>
      </w:r>
      <w:r>
        <w:rPr>
          <w:rFonts w:cs="Calibri"/>
          <w:color w:val="000000"/>
          <w:sz w:val="20"/>
          <w:szCs w:val="20"/>
        </w:rPr>
        <w:t>.  (See the section below and Appendix I.)  WIST repeated the TEPPC analysis using a capacity factor that matched actual BPA data</w:t>
      </w:r>
      <w:r w:rsidRPr="007F3A91">
        <w:rPr>
          <w:rFonts w:cs="Calibri"/>
          <w:color w:val="000000"/>
          <w:sz w:val="20"/>
          <w:szCs w:val="20"/>
        </w:rPr>
        <w:t xml:space="preserve"> (</w:t>
      </w:r>
      <w:r>
        <w:rPr>
          <w:rFonts w:cs="Calibri"/>
          <w:color w:val="000000"/>
          <w:sz w:val="20"/>
          <w:szCs w:val="20"/>
        </w:rPr>
        <w:t>31% for Oregon/Washington area).  With the change in capacity factor, the number of wind turbines needed to produce 6334 GWh was reduced.  Actual experience with the Judith Gap wind resources verifies the NREL data for the central Montana area.  With this change, the total cost of the resource development in Oregon/Washington was lower than that for Montana/Wyoming.</w:t>
      </w:r>
    </w:p>
    <w:p w:rsidR="00FF5E4C" w:rsidRDefault="00FF5E4C" w:rsidP="00375E39">
      <w:pPr>
        <w:pStyle w:val="NoSpacing"/>
        <w:jc w:val="both"/>
        <w:rPr>
          <w:rFonts w:cs="Calibri"/>
          <w:color w:val="000000"/>
          <w:sz w:val="20"/>
          <w:szCs w:val="20"/>
        </w:rPr>
      </w:pPr>
    </w:p>
    <w:p w:rsidR="00FF5E4C" w:rsidRPr="007F3A91" w:rsidRDefault="00FF5E4C" w:rsidP="001C3803">
      <w:pPr>
        <w:pStyle w:val="NoSpacing"/>
        <w:jc w:val="both"/>
        <w:rPr>
          <w:rFonts w:cs="Calibri"/>
          <w:color w:val="000000"/>
          <w:sz w:val="20"/>
          <w:szCs w:val="20"/>
        </w:rPr>
      </w:pPr>
      <w:r>
        <w:rPr>
          <w:rFonts w:cs="Calibri"/>
          <w:color w:val="000000"/>
          <w:sz w:val="20"/>
          <w:szCs w:val="20"/>
        </w:rPr>
        <w:t>The WIST also noted that t</w:t>
      </w:r>
      <w:r w:rsidRPr="007F3A91">
        <w:rPr>
          <w:rFonts w:cs="Calibri"/>
          <w:color w:val="000000"/>
          <w:sz w:val="20"/>
          <w:szCs w:val="20"/>
        </w:rPr>
        <w:t>he production cost modeling in the TEPPC study assumes that any existing transmission capacity is available to transfer the most economical resources regardless of transmission rights.</w:t>
      </w:r>
      <w:r>
        <w:rPr>
          <w:rFonts w:cs="Calibri"/>
          <w:color w:val="000000"/>
          <w:sz w:val="20"/>
          <w:szCs w:val="20"/>
        </w:rPr>
        <w:t xml:space="preserve">  Also, the c</w:t>
      </w:r>
      <w:r w:rsidRPr="007F3A91">
        <w:rPr>
          <w:rFonts w:cs="Calibri"/>
          <w:color w:val="000000"/>
          <w:sz w:val="20"/>
          <w:szCs w:val="20"/>
        </w:rPr>
        <w:t>ost estimates for generation and transmission use</w:t>
      </w:r>
      <w:r>
        <w:rPr>
          <w:rFonts w:cs="Calibri"/>
          <w:color w:val="000000"/>
          <w:sz w:val="20"/>
          <w:szCs w:val="20"/>
        </w:rPr>
        <w:t>d</w:t>
      </w:r>
      <w:r w:rsidRPr="007F3A91">
        <w:rPr>
          <w:rFonts w:cs="Calibri"/>
          <w:color w:val="000000"/>
          <w:sz w:val="20"/>
          <w:szCs w:val="20"/>
        </w:rPr>
        <w:t xml:space="preserve"> simplified generic estimates that may not cover all required project costs.</w:t>
      </w:r>
      <w:r>
        <w:rPr>
          <w:rFonts w:cs="Calibri"/>
          <w:color w:val="000000"/>
          <w:sz w:val="20"/>
          <w:szCs w:val="20"/>
        </w:rPr>
        <w:t xml:space="preserve">  </w:t>
      </w:r>
      <w:r w:rsidRPr="007F3A91">
        <w:rPr>
          <w:rFonts w:cs="Calibri"/>
          <w:color w:val="000000"/>
          <w:sz w:val="20"/>
          <w:szCs w:val="20"/>
        </w:rPr>
        <w:t xml:space="preserve">Transmission projects </w:t>
      </w:r>
      <w:r>
        <w:rPr>
          <w:rFonts w:cs="Calibri"/>
          <w:color w:val="000000"/>
          <w:sz w:val="20"/>
          <w:szCs w:val="20"/>
        </w:rPr>
        <w:t>that were assumed to be needed in the TEPPC study were</w:t>
      </w:r>
      <w:r w:rsidRPr="007F3A91">
        <w:rPr>
          <w:rFonts w:cs="Calibri"/>
          <w:color w:val="000000"/>
          <w:sz w:val="20"/>
          <w:szCs w:val="20"/>
        </w:rPr>
        <w:t xml:space="preserve"> not optimized to the resource additions.  A typical 1500 MW project was added in </w:t>
      </w:r>
      <w:r>
        <w:rPr>
          <w:rFonts w:cs="Calibri"/>
          <w:color w:val="000000"/>
          <w:sz w:val="20"/>
          <w:szCs w:val="20"/>
        </w:rPr>
        <w:t>both</w:t>
      </w:r>
      <w:r w:rsidRPr="007F3A91">
        <w:rPr>
          <w:rFonts w:cs="Calibri"/>
          <w:color w:val="000000"/>
          <w:sz w:val="20"/>
          <w:szCs w:val="20"/>
        </w:rPr>
        <w:t xml:space="preserve"> case</w:t>
      </w:r>
      <w:r>
        <w:rPr>
          <w:rFonts w:cs="Calibri"/>
          <w:color w:val="000000"/>
          <w:sz w:val="20"/>
          <w:szCs w:val="20"/>
        </w:rPr>
        <w:t>s</w:t>
      </w:r>
      <w:r w:rsidRPr="007F3A91">
        <w:rPr>
          <w:rFonts w:cs="Calibri"/>
          <w:color w:val="000000"/>
          <w:sz w:val="20"/>
          <w:szCs w:val="20"/>
        </w:rPr>
        <w:t xml:space="preserve"> </w:t>
      </w:r>
      <w:r>
        <w:rPr>
          <w:rFonts w:cs="Calibri"/>
          <w:color w:val="000000"/>
          <w:sz w:val="20"/>
          <w:szCs w:val="20"/>
        </w:rPr>
        <w:t xml:space="preserve">where there was more </w:t>
      </w:r>
      <w:r w:rsidRPr="007F3A91">
        <w:rPr>
          <w:rFonts w:cs="Calibri"/>
          <w:color w:val="000000"/>
          <w:sz w:val="20"/>
          <w:szCs w:val="20"/>
        </w:rPr>
        <w:t xml:space="preserve">than </w:t>
      </w:r>
      <w:r>
        <w:rPr>
          <w:rFonts w:cs="Calibri"/>
          <w:color w:val="000000"/>
          <w:sz w:val="20"/>
          <w:szCs w:val="20"/>
        </w:rPr>
        <w:t>1500</w:t>
      </w:r>
      <w:r w:rsidRPr="007F3A91">
        <w:rPr>
          <w:rFonts w:cs="Calibri"/>
          <w:color w:val="000000"/>
          <w:sz w:val="20"/>
          <w:szCs w:val="20"/>
        </w:rPr>
        <w:t xml:space="preserve"> MW of resources added</w:t>
      </w:r>
      <w:r>
        <w:rPr>
          <w:rFonts w:cs="Calibri"/>
          <w:color w:val="000000"/>
          <w:sz w:val="20"/>
          <w:szCs w:val="20"/>
        </w:rPr>
        <w:t xml:space="preserve"> by leaning on the existing system</w:t>
      </w:r>
      <w:r w:rsidRPr="007F3A91">
        <w:rPr>
          <w:rFonts w:cs="Calibri"/>
          <w:color w:val="000000"/>
          <w:sz w:val="20"/>
          <w:szCs w:val="20"/>
        </w:rPr>
        <w:t xml:space="preserve">.  Additional transmission </w:t>
      </w:r>
      <w:r>
        <w:rPr>
          <w:rFonts w:cs="Calibri"/>
          <w:color w:val="000000"/>
          <w:sz w:val="20"/>
          <w:szCs w:val="20"/>
        </w:rPr>
        <w:t xml:space="preserve">capacity </w:t>
      </w:r>
      <w:r w:rsidRPr="007F3A91">
        <w:rPr>
          <w:rFonts w:cs="Calibri"/>
          <w:color w:val="000000"/>
          <w:sz w:val="20"/>
          <w:szCs w:val="20"/>
        </w:rPr>
        <w:t>will probably be required to provide firm transmission rights for all</w:t>
      </w:r>
      <w:r>
        <w:rPr>
          <w:rFonts w:cs="Calibri"/>
          <w:color w:val="000000"/>
          <w:sz w:val="20"/>
          <w:szCs w:val="20"/>
        </w:rPr>
        <w:t xml:space="preserve"> of the</w:t>
      </w:r>
      <w:r w:rsidRPr="007F3A91">
        <w:rPr>
          <w:rFonts w:cs="Calibri"/>
          <w:color w:val="000000"/>
          <w:sz w:val="20"/>
          <w:szCs w:val="20"/>
        </w:rPr>
        <w:t xml:space="preserve"> new generation.</w:t>
      </w:r>
      <w:r>
        <w:rPr>
          <w:rFonts w:cs="Calibri"/>
          <w:color w:val="000000"/>
          <w:sz w:val="20"/>
          <w:szCs w:val="20"/>
        </w:rPr>
        <w:t xml:space="preserve">  These factors could also impact the outcome of this analysis. </w:t>
      </w:r>
    </w:p>
    <w:p w:rsidR="00FF5E4C" w:rsidRDefault="00FF5E4C" w:rsidP="001C3803">
      <w:pPr>
        <w:pStyle w:val="NoSpacing"/>
        <w:jc w:val="both"/>
        <w:rPr>
          <w:rFonts w:cs="Calibri"/>
          <w:color w:val="000000"/>
          <w:sz w:val="20"/>
          <w:szCs w:val="20"/>
        </w:rPr>
      </w:pPr>
    </w:p>
    <w:p w:rsidR="00FF5E4C" w:rsidRDefault="00FF5E4C" w:rsidP="001C3803">
      <w:pPr>
        <w:pStyle w:val="NoSpacing"/>
        <w:jc w:val="both"/>
        <w:rPr>
          <w:rFonts w:cs="Calibri"/>
          <w:color w:val="000000"/>
          <w:sz w:val="20"/>
          <w:szCs w:val="20"/>
        </w:rPr>
      </w:pPr>
      <w:r>
        <w:rPr>
          <w:rFonts w:cs="Calibri"/>
          <w:color w:val="000000"/>
          <w:sz w:val="20"/>
          <w:szCs w:val="20"/>
        </w:rPr>
        <w:t xml:space="preserve">A summary of this analysis is included in Appendix G of this report entitled </w:t>
      </w:r>
      <w:r w:rsidRPr="007E6F42">
        <w:t>TEPPC 2009 Study Concerning Local/Remote Issue</w:t>
      </w:r>
      <w:r>
        <w:t xml:space="preserve">.  </w:t>
      </w:r>
      <w:r>
        <w:rPr>
          <w:rFonts w:cs="Calibri"/>
          <w:color w:val="000000"/>
          <w:sz w:val="20"/>
          <w:szCs w:val="20"/>
        </w:rPr>
        <w:t>The full TEPPC report that was reviewed is posted at:</w:t>
      </w:r>
    </w:p>
    <w:p w:rsidR="00FF5E4C" w:rsidRPr="00516D4A" w:rsidRDefault="00FF5E4C" w:rsidP="001C3803">
      <w:pPr>
        <w:pStyle w:val="NoSpacing"/>
        <w:jc w:val="both"/>
        <w:rPr>
          <w:szCs w:val="20"/>
        </w:rPr>
      </w:pPr>
      <w:r>
        <w:rPr>
          <w:rFonts w:cs="Calibri"/>
          <w:color w:val="000000"/>
          <w:sz w:val="20"/>
          <w:szCs w:val="20"/>
        </w:rPr>
        <w:t xml:space="preserve"> </w:t>
      </w:r>
      <w:hyperlink r:id="rId8" w:history="1">
        <w:r w:rsidRPr="00391ECF">
          <w:rPr>
            <w:rStyle w:val="Hyperlink"/>
            <w:rFonts w:cs="Calibri"/>
            <w:sz w:val="20"/>
            <w:szCs w:val="20"/>
          </w:rPr>
          <w:t>http://www.wecc.biz/committees/BOD/TEPPC/Shared%20Documents/TEPPC%20Annual%20Reports/2009/2009%20TEPPC%20Study%20Results%20Report.pdf</w:t>
        </w:r>
      </w:hyperlink>
      <w:r>
        <w:rPr>
          <w:rFonts w:cs="Calibri"/>
          <w:color w:val="000000"/>
          <w:sz w:val="20"/>
          <w:szCs w:val="20"/>
        </w:rPr>
        <w:t xml:space="preserve"> </w:t>
      </w:r>
      <w:r w:rsidRPr="00DF4A73">
        <w:rPr>
          <w:rFonts w:cs="Calibri"/>
          <w:color w:val="000000"/>
          <w:sz w:val="20"/>
          <w:szCs w:val="20"/>
        </w:rPr>
        <w:t xml:space="preserve"> </w:t>
      </w:r>
      <w:r>
        <w:rPr>
          <w:rFonts w:cs="Calibri"/>
          <w:color w:val="000000"/>
          <w:sz w:val="20"/>
          <w:szCs w:val="20"/>
        </w:rPr>
        <w:t>(the analysis in question is included in Section 5 of this report).</w:t>
      </w:r>
    </w:p>
    <w:p w:rsidR="00FF5E4C" w:rsidRDefault="00FF5E4C" w:rsidP="001C3803">
      <w:pPr>
        <w:spacing w:after="0" w:line="240" w:lineRule="auto"/>
      </w:pPr>
    </w:p>
    <w:p w:rsidR="00FF5E4C" w:rsidRDefault="00FF5E4C" w:rsidP="001C3803">
      <w:pPr>
        <w:spacing w:after="0" w:line="240" w:lineRule="auto"/>
      </w:pPr>
    </w:p>
    <w:p w:rsidR="00FF5E4C" w:rsidRPr="00AA478F" w:rsidRDefault="00FF5E4C" w:rsidP="00FE438D">
      <w:pPr>
        <w:rPr>
          <w:b/>
        </w:rPr>
      </w:pPr>
      <w:r w:rsidRPr="00AA478F">
        <w:rPr>
          <w:b/>
        </w:rPr>
        <w:t>Comparison of NREL Data with Historical Data for Columbia Gorge Wind Sites</w:t>
      </w:r>
    </w:p>
    <w:p w:rsidR="00FF5E4C" w:rsidRDefault="00FF5E4C" w:rsidP="001C3803">
      <w:pPr>
        <w:spacing w:after="0" w:line="240" w:lineRule="auto"/>
        <w:jc w:val="both"/>
        <w:rPr>
          <w:sz w:val="20"/>
          <w:szCs w:val="20"/>
        </w:rPr>
      </w:pPr>
      <w:r>
        <w:rPr>
          <w:sz w:val="20"/>
          <w:szCs w:val="20"/>
        </w:rPr>
        <w:t xml:space="preserve">The NPCC compared a limited amount of historical data for wind plants in the BPA balancing area with the comparable NREL data.  This was done because an important driver of the TEPPC study results was the relatively low capacity factor of Columbia Gorge wind sites compared to that of Montana and Wyoming wind sites in the NREL data.  It was observed that the NREL data for the local sites appeared lower than expected, so a more detailed comparison was done.  </w:t>
      </w:r>
    </w:p>
    <w:p w:rsidR="00FF5E4C" w:rsidRDefault="00FF5E4C" w:rsidP="001C3803">
      <w:pPr>
        <w:spacing w:after="0" w:line="240" w:lineRule="auto"/>
        <w:jc w:val="both"/>
        <w:rPr>
          <w:sz w:val="20"/>
          <w:szCs w:val="20"/>
        </w:rPr>
      </w:pPr>
    </w:p>
    <w:p w:rsidR="00FF5E4C" w:rsidRDefault="00FF5E4C" w:rsidP="001C3803">
      <w:pPr>
        <w:spacing w:after="0" w:line="240" w:lineRule="auto"/>
        <w:jc w:val="both"/>
        <w:rPr>
          <w:sz w:val="20"/>
          <w:szCs w:val="20"/>
        </w:rPr>
      </w:pPr>
      <w:r>
        <w:rPr>
          <w:sz w:val="20"/>
          <w:szCs w:val="20"/>
        </w:rPr>
        <w:t>Although the historical data was limited (initially, apparently only 2007-09) and the NREL data were for 2004-06, the comparison suggested that the NREL data systematically understated the wind potential in the Columbia Gorge sites.  Additional years’ data (that may need more investigation) suggested that while the historically experienced capacity factors in 2004-06 were lower than those of 2007-09, they were still higher than the comparable NREL data.  The longer historical data record also suggests a trend through time, though the limited time span does not allow for solid conclusions.  More investigation is warranted to understand the limits to the use of the NREL data.  This is described further in Appendix I.</w:t>
      </w:r>
    </w:p>
    <w:p w:rsidR="00FF5E4C" w:rsidRDefault="00FF5E4C" w:rsidP="001C3803">
      <w:pPr>
        <w:spacing w:after="0" w:line="240" w:lineRule="auto"/>
        <w:jc w:val="both"/>
        <w:rPr>
          <w:sz w:val="20"/>
          <w:szCs w:val="20"/>
        </w:rPr>
      </w:pPr>
      <w:r>
        <w:rPr>
          <w:sz w:val="20"/>
          <w:szCs w:val="20"/>
        </w:rPr>
        <w:t xml:space="preserve">  </w:t>
      </w:r>
    </w:p>
    <w:p w:rsidR="00FF5E4C" w:rsidRPr="00AA478F" w:rsidRDefault="00FF5E4C" w:rsidP="001C3803">
      <w:pPr>
        <w:pStyle w:val="NoSpacing"/>
        <w:jc w:val="both"/>
        <w:rPr>
          <w:b/>
        </w:rPr>
      </w:pPr>
      <w:r w:rsidRPr="00AA478F">
        <w:rPr>
          <w:b/>
        </w:rPr>
        <w:t>NREL Western Wind and Solar Integration Study (WWSIS)</w:t>
      </w:r>
    </w:p>
    <w:p w:rsidR="00FF5E4C" w:rsidRPr="001C3803" w:rsidRDefault="00FF5E4C" w:rsidP="001C3803">
      <w:pPr>
        <w:pStyle w:val="NoSpacing"/>
        <w:jc w:val="both"/>
        <w:rPr>
          <w:b/>
          <w:sz w:val="20"/>
          <w:szCs w:val="20"/>
          <w:u w:val="single"/>
        </w:rPr>
      </w:pPr>
    </w:p>
    <w:p w:rsidR="00FF5E4C" w:rsidRPr="001C3803" w:rsidRDefault="00FF5E4C" w:rsidP="001C3803">
      <w:pPr>
        <w:pStyle w:val="NoSpacing"/>
        <w:jc w:val="both"/>
        <w:rPr>
          <w:sz w:val="20"/>
          <w:szCs w:val="20"/>
        </w:rPr>
      </w:pPr>
      <w:r w:rsidRPr="001C3803">
        <w:rPr>
          <w:sz w:val="20"/>
          <w:szCs w:val="20"/>
        </w:rPr>
        <w:t xml:space="preserve">The WSIS study investigated the benefits of integrating wind and solar resources in the WestConnect footprint of Arizona, Nevada, New Mexico, Utah, Colorado, and Wyoming. Three scenarios were developed, each locating resources in-state, across the entire footprint, or favoring local resources with a 10% capital cost advantage. It is important to note that the study assumed adequate transmission and control area operation for all scenarios. The results showed similar overall performance and economics at penetration levels ranging from 10 to 30%.  Monthly variation in renewable penetration levels ranged from 60% in the winter to 14 % in the summer, but there was little energy production difference across each month among the three scenarios.  </w:t>
      </w:r>
    </w:p>
    <w:p w:rsidR="00FF5E4C" w:rsidRPr="001C3803" w:rsidRDefault="00FF5E4C" w:rsidP="001C3803">
      <w:pPr>
        <w:pStyle w:val="NoSpacing"/>
        <w:jc w:val="both"/>
        <w:rPr>
          <w:sz w:val="20"/>
          <w:szCs w:val="20"/>
        </w:rPr>
      </w:pPr>
    </w:p>
    <w:p w:rsidR="00FF5E4C" w:rsidRPr="001C3803" w:rsidRDefault="00FF5E4C" w:rsidP="001C3803">
      <w:pPr>
        <w:pStyle w:val="NoSpacing"/>
        <w:jc w:val="both"/>
        <w:rPr>
          <w:sz w:val="20"/>
          <w:szCs w:val="20"/>
        </w:rPr>
      </w:pPr>
      <w:r w:rsidRPr="001C3803">
        <w:rPr>
          <w:sz w:val="20"/>
          <w:szCs w:val="20"/>
        </w:rPr>
        <w:t>The study showed some modest cost savings (up to $1/MWh) by locating resources across the entire footprint rather than exclusively in-state at penetration levels of 20% and 30%. This improvement may be attributed to the higher capacity factors in high plains wind resources compared to the southwest states. But lack of transmission cost assumptions, assumed to be greater for the footprint-wide case, probably negates any useful comparison with the WIST or TEPPC analyses.</w:t>
      </w:r>
    </w:p>
    <w:p w:rsidR="00FF5E4C" w:rsidRPr="001C3803" w:rsidRDefault="00FF5E4C" w:rsidP="001C3803">
      <w:pPr>
        <w:pStyle w:val="NoSpacing"/>
        <w:jc w:val="both"/>
        <w:rPr>
          <w:sz w:val="20"/>
          <w:szCs w:val="20"/>
        </w:rPr>
      </w:pPr>
    </w:p>
    <w:p w:rsidR="00FF5E4C" w:rsidRPr="001C3803" w:rsidRDefault="00FF5E4C" w:rsidP="001C3803">
      <w:pPr>
        <w:spacing w:after="0" w:line="240" w:lineRule="auto"/>
        <w:rPr>
          <w:sz w:val="20"/>
          <w:szCs w:val="20"/>
        </w:rPr>
      </w:pPr>
      <w:r w:rsidRPr="001C3803">
        <w:rPr>
          <w:sz w:val="20"/>
          <w:szCs w:val="20"/>
        </w:rPr>
        <w:t xml:space="preserve">The full report is available at </w:t>
      </w:r>
      <w:hyperlink r:id="rId9" w:history="1">
        <w:r w:rsidRPr="00391ECF">
          <w:rPr>
            <w:rStyle w:val="Hyperlink"/>
            <w:sz w:val="20"/>
            <w:szCs w:val="20"/>
          </w:rPr>
          <w:t>http://www.wind.nrel.gov/wind/systemsintegration/wwsis.html</w:t>
        </w:r>
      </w:hyperlink>
      <w:r>
        <w:rPr>
          <w:sz w:val="20"/>
          <w:szCs w:val="20"/>
        </w:rPr>
        <w:t xml:space="preserve"> </w:t>
      </w:r>
      <w:r w:rsidRPr="001C3803">
        <w:rPr>
          <w:sz w:val="20"/>
          <w:szCs w:val="20"/>
        </w:rPr>
        <w:t xml:space="preserve"> </w:t>
      </w:r>
    </w:p>
    <w:p w:rsidR="00FF5E4C" w:rsidRDefault="00FF5E4C" w:rsidP="006D7A0B">
      <w:r>
        <w:br w:type="page"/>
      </w:r>
    </w:p>
    <w:p w:rsidR="00FF5E4C" w:rsidRPr="00DA7372" w:rsidRDefault="00FF5E4C" w:rsidP="00DA7372">
      <w:pPr>
        <w:pStyle w:val="Heading1"/>
        <w:numPr>
          <w:ilvl w:val="0"/>
          <w:numId w:val="1"/>
        </w:numPr>
        <w:rPr>
          <w:rFonts w:ascii="Calibri" w:hAnsi="Calibri" w:cs="Calibri"/>
          <w:color w:val="000000"/>
          <w:sz w:val="22"/>
          <w:szCs w:val="22"/>
        </w:rPr>
      </w:pPr>
      <w:bookmarkStart w:id="3" w:name="_Toc260752694"/>
      <w:r w:rsidRPr="00DA7372">
        <w:rPr>
          <w:rFonts w:ascii="Calibri" w:hAnsi="Calibri" w:cs="Calibri"/>
          <w:color w:val="000000"/>
          <w:sz w:val="22"/>
          <w:szCs w:val="22"/>
        </w:rPr>
        <w:t>Appendices - Individual Studies</w:t>
      </w:r>
      <w:bookmarkEnd w:id="3"/>
    </w:p>
    <w:p w:rsidR="00FF5E4C" w:rsidRDefault="00FF5E4C" w:rsidP="00BA6B0C">
      <w:pPr>
        <w:pStyle w:val="Heading2"/>
        <w:ind w:left="0"/>
        <w:rPr>
          <w:rFonts w:ascii="Calibri" w:hAnsi="Calibri" w:cs="Calibri"/>
          <w:color w:val="000000"/>
          <w:sz w:val="22"/>
          <w:szCs w:val="22"/>
        </w:rPr>
      </w:pPr>
      <w:bookmarkStart w:id="4" w:name="_Toc260752695"/>
      <w:r w:rsidRPr="00DE737F">
        <w:rPr>
          <w:rFonts w:ascii="Calibri" w:hAnsi="Calibri" w:cs="Calibri"/>
          <w:color w:val="000000"/>
          <w:sz w:val="22"/>
          <w:szCs w:val="22"/>
        </w:rPr>
        <w:t>LBL Study</w:t>
      </w:r>
      <w:bookmarkEnd w:id="4"/>
    </w:p>
    <w:p w:rsidR="00FF5E4C" w:rsidRPr="00624B6F" w:rsidRDefault="00FF5E4C" w:rsidP="00BA6B0C">
      <w:pPr>
        <w:pStyle w:val="Heading3"/>
        <w:ind w:left="720"/>
        <w:rPr>
          <w:rFonts w:ascii="Calibri" w:hAnsi="Calibri" w:cs="Calibri"/>
          <w:color w:val="000000"/>
          <w:sz w:val="20"/>
          <w:szCs w:val="20"/>
        </w:rPr>
      </w:pPr>
      <w:bookmarkStart w:id="5" w:name="_Toc260752696"/>
      <w:r w:rsidRPr="00624B6F">
        <w:rPr>
          <w:rFonts w:ascii="Calibri" w:hAnsi="Calibri" w:cs="Calibri"/>
          <w:color w:val="000000"/>
          <w:sz w:val="20"/>
          <w:szCs w:val="20"/>
        </w:rPr>
        <w:t>Summary of Exploration of Resource and Transmission Expansion Decisions in the Western Renewable Energy Zone (WREZ) Initiative</w:t>
      </w:r>
      <w:bookmarkEnd w:id="5"/>
    </w:p>
    <w:p w:rsidR="00FF5E4C" w:rsidRPr="00624B6F" w:rsidRDefault="00FF5E4C" w:rsidP="00BA6B0C">
      <w:pPr>
        <w:pStyle w:val="NoSpacing"/>
        <w:rPr>
          <w:rFonts w:cs="Calibri"/>
          <w:sz w:val="20"/>
          <w:szCs w:val="20"/>
        </w:rPr>
      </w:pPr>
    </w:p>
    <w:p w:rsidR="00FF5E4C" w:rsidRPr="00834126" w:rsidRDefault="00FF5E4C" w:rsidP="00BA6B0C">
      <w:pPr>
        <w:pStyle w:val="NoSpacing"/>
        <w:jc w:val="center"/>
        <w:rPr>
          <w:rFonts w:cs="Calibri"/>
          <w:b/>
          <w:sz w:val="20"/>
          <w:szCs w:val="20"/>
        </w:rPr>
      </w:pPr>
      <w:r w:rsidRPr="00834126">
        <w:rPr>
          <w:rFonts w:cs="Calibri"/>
          <w:b/>
          <w:sz w:val="20"/>
          <w:szCs w:val="20"/>
        </w:rPr>
        <w:t>Lawrence Berkeley National Laboratory</w:t>
      </w:r>
    </w:p>
    <w:p w:rsidR="00FF5E4C" w:rsidRPr="00834126" w:rsidRDefault="00FF5E4C" w:rsidP="00BA6B0C">
      <w:pPr>
        <w:pStyle w:val="NoSpacing"/>
        <w:jc w:val="center"/>
        <w:rPr>
          <w:rFonts w:cs="Calibri"/>
          <w:b/>
          <w:sz w:val="20"/>
          <w:szCs w:val="20"/>
        </w:rPr>
      </w:pPr>
      <w:r w:rsidRPr="00834126">
        <w:rPr>
          <w:rFonts w:cs="Calibri"/>
          <w:b/>
          <w:sz w:val="20"/>
          <w:szCs w:val="20"/>
        </w:rPr>
        <w:t>February 2010</w:t>
      </w:r>
    </w:p>
    <w:p w:rsidR="00FF5E4C" w:rsidRPr="00624B6F" w:rsidRDefault="00FF5E4C" w:rsidP="00624B6F">
      <w:pPr>
        <w:pStyle w:val="NoSpacing"/>
        <w:rPr>
          <w:rFonts w:cs="Calibri"/>
          <w:sz w:val="20"/>
          <w:szCs w:val="20"/>
        </w:rPr>
      </w:pPr>
    </w:p>
    <w:p w:rsidR="00FF5E4C" w:rsidRPr="00834126" w:rsidRDefault="00FF5E4C" w:rsidP="00624B6F">
      <w:pPr>
        <w:pStyle w:val="NoSpacing"/>
        <w:rPr>
          <w:rFonts w:cs="Calibri"/>
          <w:b/>
          <w:sz w:val="20"/>
          <w:szCs w:val="20"/>
          <w:u w:val="single"/>
        </w:rPr>
      </w:pPr>
      <w:r w:rsidRPr="00834126">
        <w:rPr>
          <w:rFonts w:cs="Calibri"/>
          <w:b/>
          <w:sz w:val="20"/>
          <w:szCs w:val="20"/>
          <w:u w:val="single"/>
        </w:rPr>
        <w:t>Overview</w:t>
      </w:r>
    </w:p>
    <w:p w:rsidR="00FF5E4C" w:rsidRPr="00624B6F" w:rsidRDefault="00FF5E4C" w:rsidP="00624B6F">
      <w:pPr>
        <w:pStyle w:val="NoSpacing"/>
        <w:rPr>
          <w:rFonts w:cs="Calibri"/>
          <w:sz w:val="20"/>
          <w:szCs w:val="20"/>
        </w:rPr>
      </w:pPr>
      <w:r w:rsidRPr="00624B6F">
        <w:rPr>
          <w:rFonts w:cs="Calibri"/>
          <w:sz w:val="20"/>
          <w:szCs w:val="20"/>
        </w:rPr>
        <w:t xml:space="preserve">This LBL study uses an Excel-based model, developed as part of the WREZ initiative, to evaluate the relative economic attractiveness of renewable resources to the major load zones of the WECC.  The primary metric is “adjusted delivered cost” (ADC) and the model uses a least-cost algorithm to identify which resources and transmission are needed to meet varying levels of RPS requirements while respecting the limited quantities of high quality resources that are attractive to multiple load centers.  The comparison of relative economic attractiveness between various load centers can uncover potential for collaboration (on common transmission needs, for example) or competition to secure attractive resources.  </w:t>
      </w:r>
    </w:p>
    <w:p w:rsidR="00FF5E4C" w:rsidRPr="00624B6F" w:rsidRDefault="00FF5E4C" w:rsidP="00624B6F">
      <w:pPr>
        <w:pStyle w:val="NoSpacing"/>
        <w:rPr>
          <w:rFonts w:cs="Calibri"/>
          <w:sz w:val="20"/>
          <w:szCs w:val="20"/>
        </w:rPr>
      </w:pPr>
    </w:p>
    <w:p w:rsidR="00FF5E4C" w:rsidRPr="00624B6F" w:rsidRDefault="00FF5E4C" w:rsidP="00624B6F">
      <w:pPr>
        <w:pStyle w:val="NoSpacing"/>
        <w:rPr>
          <w:rFonts w:cs="Calibri"/>
          <w:sz w:val="20"/>
          <w:szCs w:val="20"/>
        </w:rPr>
      </w:pPr>
      <w:r w:rsidRPr="00624B6F">
        <w:rPr>
          <w:rFonts w:cs="Calibri"/>
          <w:sz w:val="20"/>
          <w:szCs w:val="20"/>
        </w:rPr>
        <w:t>It is important to note that this is a high-level screening model driven by very broad (but reasonable) simplifying assumptions.  The study points out rational patterns of renewable resource and transmission development and the importance of various changes in assumptions and policies.  However, it is of limited value in looking at the issues of renewable integration, operational feasibility or reliability.  For example, the design is to meet annual, WECC-wide RPS energy requirements up to 33% RPS levels.   While the ADC method incorporates factors to reflect “value to the electricity system”, the annual energy approach precludes consideration of seasonal or diurnal variations, operational feasibility, reliability or such issues as local market disruptions at high penetration levels of a single renewable technology.</w:t>
      </w:r>
    </w:p>
    <w:p w:rsidR="00FF5E4C" w:rsidRPr="00624B6F" w:rsidRDefault="00FF5E4C" w:rsidP="00624B6F">
      <w:pPr>
        <w:pStyle w:val="NoSpacing"/>
        <w:rPr>
          <w:rFonts w:cs="Calibri"/>
          <w:sz w:val="20"/>
          <w:szCs w:val="20"/>
        </w:rPr>
      </w:pPr>
    </w:p>
    <w:p w:rsidR="00FF5E4C" w:rsidRPr="00834126" w:rsidRDefault="00FF5E4C" w:rsidP="00624B6F">
      <w:pPr>
        <w:pStyle w:val="NoSpacing"/>
        <w:rPr>
          <w:rFonts w:cs="Calibri"/>
          <w:b/>
          <w:sz w:val="20"/>
          <w:szCs w:val="20"/>
          <w:u w:val="single"/>
        </w:rPr>
      </w:pPr>
      <w:r w:rsidRPr="00834126">
        <w:rPr>
          <w:rFonts w:cs="Calibri"/>
          <w:b/>
          <w:sz w:val="20"/>
          <w:szCs w:val="20"/>
          <w:u w:val="single"/>
        </w:rPr>
        <w:t>Assumptions and Study Design</w:t>
      </w:r>
    </w:p>
    <w:p w:rsidR="00FF5E4C" w:rsidRPr="00624B6F" w:rsidRDefault="00FF5E4C" w:rsidP="00624B6F">
      <w:pPr>
        <w:pStyle w:val="NoSpacing"/>
        <w:rPr>
          <w:rFonts w:cs="Calibri"/>
          <w:sz w:val="20"/>
          <w:szCs w:val="20"/>
        </w:rPr>
      </w:pPr>
      <w:r w:rsidRPr="00624B6F">
        <w:rPr>
          <w:rFonts w:cs="Calibri"/>
          <w:sz w:val="20"/>
          <w:szCs w:val="20"/>
        </w:rPr>
        <w:t>The following are some of the key assumptions and methods of the study:</w:t>
      </w:r>
    </w:p>
    <w:p w:rsidR="00FF5E4C" w:rsidRPr="00624B6F" w:rsidRDefault="00FF5E4C" w:rsidP="00834126">
      <w:pPr>
        <w:pStyle w:val="NoSpacing"/>
        <w:numPr>
          <w:ilvl w:val="0"/>
          <w:numId w:val="17"/>
        </w:numPr>
        <w:rPr>
          <w:rFonts w:cs="Calibri"/>
          <w:sz w:val="20"/>
          <w:szCs w:val="20"/>
        </w:rPr>
      </w:pPr>
      <w:r w:rsidRPr="00624B6F">
        <w:rPr>
          <w:rFonts w:cs="Calibri"/>
          <w:sz w:val="20"/>
          <w:szCs w:val="20"/>
        </w:rPr>
        <w:t>Test year of 2029</w:t>
      </w:r>
    </w:p>
    <w:p w:rsidR="00FF5E4C" w:rsidRPr="00624B6F" w:rsidRDefault="00FF5E4C" w:rsidP="00834126">
      <w:pPr>
        <w:pStyle w:val="NoSpacing"/>
        <w:numPr>
          <w:ilvl w:val="0"/>
          <w:numId w:val="17"/>
        </w:numPr>
        <w:rPr>
          <w:rFonts w:cs="Calibri"/>
          <w:sz w:val="20"/>
          <w:szCs w:val="20"/>
        </w:rPr>
      </w:pPr>
      <w:r w:rsidRPr="00624B6F">
        <w:rPr>
          <w:rFonts w:cs="Calibri"/>
          <w:sz w:val="20"/>
          <w:szCs w:val="20"/>
        </w:rPr>
        <w:t>RPS requirements are WECC-wide and are tested at 12%, 25% and 33%</w:t>
      </w:r>
    </w:p>
    <w:p w:rsidR="00FF5E4C" w:rsidRPr="00624B6F" w:rsidRDefault="00FF5E4C" w:rsidP="00834126">
      <w:pPr>
        <w:pStyle w:val="NoSpacing"/>
        <w:numPr>
          <w:ilvl w:val="0"/>
          <w:numId w:val="17"/>
        </w:numPr>
        <w:rPr>
          <w:rFonts w:cs="Calibri"/>
          <w:sz w:val="20"/>
          <w:szCs w:val="20"/>
        </w:rPr>
      </w:pPr>
      <w:r w:rsidRPr="00624B6F">
        <w:rPr>
          <w:rFonts w:cs="Calibri"/>
          <w:sz w:val="20"/>
          <w:szCs w:val="20"/>
        </w:rPr>
        <w:t>Resources are WREZ-identified resource hubs only.  Hubs are discrete geographic concentrations of environmentally preferred renewable resources that might justify a new 1,500 MW transmission line.</w:t>
      </w:r>
    </w:p>
    <w:p w:rsidR="00FF5E4C" w:rsidRPr="00624B6F" w:rsidRDefault="00FF5E4C" w:rsidP="00834126">
      <w:pPr>
        <w:pStyle w:val="NoSpacing"/>
        <w:numPr>
          <w:ilvl w:val="0"/>
          <w:numId w:val="17"/>
        </w:numPr>
        <w:rPr>
          <w:rFonts w:cs="Calibri"/>
          <w:sz w:val="20"/>
          <w:szCs w:val="20"/>
        </w:rPr>
      </w:pPr>
      <w:r w:rsidRPr="00624B6F">
        <w:rPr>
          <w:rFonts w:cs="Calibri"/>
          <w:sz w:val="20"/>
          <w:szCs w:val="20"/>
        </w:rPr>
        <w:t>Adjusted Delivered Cost is defined as:</w:t>
      </w:r>
    </w:p>
    <w:p w:rsidR="00FF5E4C" w:rsidRPr="00624B6F" w:rsidRDefault="00FF5E4C" w:rsidP="00284425">
      <w:pPr>
        <w:pStyle w:val="NoSpacing"/>
        <w:ind w:left="720"/>
        <w:rPr>
          <w:rFonts w:cs="Calibri"/>
          <w:sz w:val="20"/>
          <w:szCs w:val="20"/>
        </w:rPr>
      </w:pPr>
      <w:r w:rsidRPr="00624B6F">
        <w:rPr>
          <w:rFonts w:cs="Calibri"/>
          <w:sz w:val="20"/>
          <w:szCs w:val="20"/>
        </w:rPr>
        <w:t>Bus-Bar Cost</w:t>
      </w:r>
    </w:p>
    <w:p w:rsidR="00FF5E4C" w:rsidRPr="00624B6F" w:rsidRDefault="00FF5E4C" w:rsidP="00834126">
      <w:pPr>
        <w:pStyle w:val="NoSpacing"/>
        <w:numPr>
          <w:ilvl w:val="1"/>
          <w:numId w:val="17"/>
        </w:numPr>
        <w:rPr>
          <w:rFonts w:cs="Calibri"/>
          <w:sz w:val="20"/>
          <w:szCs w:val="20"/>
        </w:rPr>
      </w:pPr>
      <w:r w:rsidRPr="00624B6F">
        <w:rPr>
          <w:rFonts w:cs="Calibri"/>
          <w:sz w:val="20"/>
          <w:szCs w:val="20"/>
        </w:rPr>
        <w:t>PLUS</w:t>
      </w:r>
      <w:r w:rsidRPr="00624B6F">
        <w:rPr>
          <w:rFonts w:cs="Calibri"/>
          <w:sz w:val="20"/>
          <w:szCs w:val="20"/>
        </w:rPr>
        <w:tab/>
      </w:r>
      <w:r w:rsidRPr="00624B6F">
        <w:rPr>
          <w:rFonts w:cs="Calibri"/>
          <w:sz w:val="20"/>
          <w:szCs w:val="20"/>
        </w:rPr>
        <w:tab/>
        <w:t>Transmission costs (including losses)</w:t>
      </w:r>
    </w:p>
    <w:p w:rsidR="00FF5E4C" w:rsidRPr="00624B6F" w:rsidRDefault="00FF5E4C" w:rsidP="00834126">
      <w:pPr>
        <w:pStyle w:val="NoSpacing"/>
        <w:numPr>
          <w:ilvl w:val="1"/>
          <w:numId w:val="17"/>
        </w:numPr>
        <w:rPr>
          <w:rFonts w:cs="Calibri"/>
          <w:sz w:val="20"/>
          <w:szCs w:val="20"/>
        </w:rPr>
      </w:pPr>
      <w:r w:rsidRPr="00624B6F">
        <w:rPr>
          <w:rFonts w:cs="Calibri"/>
          <w:sz w:val="20"/>
          <w:szCs w:val="20"/>
        </w:rPr>
        <w:t xml:space="preserve">PLUS </w:t>
      </w:r>
      <w:r w:rsidRPr="00624B6F">
        <w:rPr>
          <w:rFonts w:cs="Calibri"/>
          <w:sz w:val="20"/>
          <w:szCs w:val="20"/>
        </w:rPr>
        <w:tab/>
      </w:r>
      <w:r w:rsidRPr="00624B6F">
        <w:rPr>
          <w:rFonts w:cs="Calibri"/>
          <w:sz w:val="20"/>
          <w:szCs w:val="20"/>
        </w:rPr>
        <w:tab/>
        <w:t>Integration cost</w:t>
      </w:r>
    </w:p>
    <w:p w:rsidR="00FF5E4C" w:rsidRPr="00624B6F" w:rsidRDefault="00FF5E4C" w:rsidP="00834126">
      <w:pPr>
        <w:pStyle w:val="NoSpacing"/>
        <w:numPr>
          <w:ilvl w:val="1"/>
          <w:numId w:val="17"/>
        </w:numPr>
        <w:rPr>
          <w:rFonts w:cs="Calibri"/>
          <w:sz w:val="20"/>
          <w:szCs w:val="20"/>
        </w:rPr>
      </w:pPr>
      <w:r w:rsidRPr="00624B6F">
        <w:rPr>
          <w:rFonts w:cs="Calibri"/>
          <w:sz w:val="20"/>
          <w:szCs w:val="20"/>
        </w:rPr>
        <w:t>LESS</w:t>
      </w:r>
      <w:r w:rsidRPr="00624B6F">
        <w:rPr>
          <w:rFonts w:cs="Calibri"/>
          <w:sz w:val="20"/>
          <w:szCs w:val="20"/>
        </w:rPr>
        <w:tab/>
      </w:r>
      <w:r w:rsidRPr="00624B6F">
        <w:rPr>
          <w:rFonts w:cs="Calibri"/>
          <w:sz w:val="20"/>
          <w:szCs w:val="20"/>
        </w:rPr>
        <w:tab/>
        <w:t>Capacity value</w:t>
      </w:r>
    </w:p>
    <w:p w:rsidR="00FF5E4C" w:rsidRPr="00624B6F" w:rsidRDefault="00FF5E4C" w:rsidP="00834126">
      <w:pPr>
        <w:pStyle w:val="NoSpacing"/>
        <w:numPr>
          <w:ilvl w:val="1"/>
          <w:numId w:val="17"/>
        </w:numPr>
        <w:rPr>
          <w:rFonts w:cs="Calibri"/>
          <w:sz w:val="20"/>
          <w:szCs w:val="20"/>
        </w:rPr>
      </w:pPr>
      <w:r w:rsidRPr="00624B6F">
        <w:rPr>
          <w:rFonts w:cs="Calibri"/>
          <w:sz w:val="20"/>
          <w:szCs w:val="20"/>
        </w:rPr>
        <w:t xml:space="preserve">LESS </w:t>
      </w:r>
      <w:r w:rsidRPr="00624B6F">
        <w:rPr>
          <w:rFonts w:cs="Calibri"/>
          <w:sz w:val="20"/>
          <w:szCs w:val="20"/>
        </w:rPr>
        <w:tab/>
      </w:r>
      <w:r w:rsidRPr="00624B6F">
        <w:rPr>
          <w:rFonts w:cs="Calibri"/>
          <w:sz w:val="20"/>
          <w:szCs w:val="20"/>
        </w:rPr>
        <w:tab/>
        <w:t>Time of day energy value</w:t>
      </w:r>
    </w:p>
    <w:p w:rsidR="00FF5E4C" w:rsidRPr="00624B6F" w:rsidRDefault="00FF5E4C" w:rsidP="00834126">
      <w:pPr>
        <w:pStyle w:val="NoSpacing"/>
        <w:numPr>
          <w:ilvl w:val="0"/>
          <w:numId w:val="17"/>
        </w:numPr>
        <w:rPr>
          <w:rFonts w:cs="Calibri"/>
          <w:sz w:val="20"/>
          <w:szCs w:val="20"/>
        </w:rPr>
      </w:pPr>
      <w:r w:rsidRPr="00624B6F">
        <w:rPr>
          <w:rFonts w:cs="Calibri"/>
          <w:sz w:val="20"/>
          <w:szCs w:val="20"/>
        </w:rPr>
        <w:t>Solar assumed financed with 25-year debt, all others 15-year</w:t>
      </w:r>
    </w:p>
    <w:p w:rsidR="00FF5E4C" w:rsidRPr="00624B6F" w:rsidRDefault="00FF5E4C" w:rsidP="00834126">
      <w:pPr>
        <w:pStyle w:val="NoSpacing"/>
        <w:numPr>
          <w:ilvl w:val="0"/>
          <w:numId w:val="17"/>
        </w:numPr>
        <w:rPr>
          <w:rFonts w:cs="Calibri"/>
          <w:sz w:val="20"/>
          <w:szCs w:val="20"/>
        </w:rPr>
      </w:pPr>
      <w:r w:rsidRPr="00624B6F">
        <w:rPr>
          <w:rFonts w:cs="Calibri"/>
          <w:sz w:val="20"/>
          <w:szCs w:val="20"/>
        </w:rPr>
        <w:t>New transmission assumed to be required between resource and load, costs assigned on a pro-rata share (lumpiness ignored)</w:t>
      </w:r>
    </w:p>
    <w:p w:rsidR="00FF5E4C" w:rsidRPr="00624B6F" w:rsidRDefault="00FF5E4C" w:rsidP="00834126">
      <w:pPr>
        <w:pStyle w:val="NoSpacing"/>
        <w:numPr>
          <w:ilvl w:val="0"/>
          <w:numId w:val="17"/>
        </w:numPr>
        <w:rPr>
          <w:rFonts w:cs="Calibri"/>
          <w:sz w:val="20"/>
          <w:szCs w:val="20"/>
        </w:rPr>
      </w:pPr>
      <w:r w:rsidRPr="00624B6F">
        <w:rPr>
          <w:rFonts w:cs="Calibri"/>
          <w:sz w:val="20"/>
          <w:szCs w:val="20"/>
        </w:rPr>
        <w:t>Integration costs:   wind $5/MWhr; PV and solar thermal without storage $2.50/MWhr.  Assumes a high degree of balancing area cooperation or consolidation, otherwise integration in the 33% case expected to be much higher.</w:t>
      </w:r>
    </w:p>
    <w:p w:rsidR="00FF5E4C" w:rsidRPr="00624B6F" w:rsidRDefault="00FF5E4C" w:rsidP="00834126">
      <w:pPr>
        <w:pStyle w:val="NoSpacing"/>
        <w:numPr>
          <w:ilvl w:val="0"/>
          <w:numId w:val="17"/>
        </w:numPr>
        <w:rPr>
          <w:rFonts w:cs="Calibri"/>
          <w:sz w:val="20"/>
          <w:szCs w:val="20"/>
        </w:rPr>
      </w:pPr>
      <w:r w:rsidRPr="00624B6F">
        <w:rPr>
          <w:rFonts w:cs="Calibri"/>
          <w:sz w:val="20"/>
          <w:szCs w:val="20"/>
        </w:rPr>
        <w:t>Average cost and value components are shown below:</w:t>
      </w:r>
    </w:p>
    <w:p w:rsidR="00FF5E4C" w:rsidRPr="00624B6F" w:rsidRDefault="00FF5E4C" w:rsidP="00624B6F">
      <w:pPr>
        <w:pStyle w:val="NoSpacing"/>
        <w:rPr>
          <w:rFonts w:cs="Calibri"/>
          <w:sz w:val="20"/>
          <w:szCs w:val="20"/>
        </w:rPr>
      </w:pPr>
    </w:p>
    <w:p w:rsidR="00FF5E4C" w:rsidRPr="00624B6F" w:rsidRDefault="00FF5E4C" w:rsidP="00624B6F">
      <w:pPr>
        <w:pStyle w:val="NoSpacing"/>
        <w:rPr>
          <w:rFonts w:cs="Calibri"/>
          <w:sz w:val="20"/>
          <w:szCs w:val="20"/>
        </w:rPr>
      </w:pPr>
      <w:r w:rsidRPr="0007596D">
        <w:rPr>
          <w:rFonts w:cs="Calibr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438.75pt;height:377.25pt;visibility:visible">
            <v:imagedata r:id="rId10" o:title=""/>
          </v:shape>
        </w:pict>
      </w:r>
    </w:p>
    <w:p w:rsidR="00FF5E4C" w:rsidRPr="00624B6F" w:rsidRDefault="00FF5E4C" w:rsidP="00624B6F">
      <w:pPr>
        <w:pStyle w:val="NoSpacing"/>
        <w:rPr>
          <w:rFonts w:cs="Calibri"/>
          <w:sz w:val="20"/>
          <w:szCs w:val="20"/>
        </w:rPr>
      </w:pPr>
    </w:p>
    <w:p w:rsidR="00FF5E4C" w:rsidRPr="00834126" w:rsidRDefault="00FF5E4C" w:rsidP="00624B6F">
      <w:pPr>
        <w:pStyle w:val="NoSpacing"/>
        <w:rPr>
          <w:rFonts w:cs="Calibri"/>
          <w:b/>
          <w:sz w:val="20"/>
          <w:szCs w:val="20"/>
          <w:u w:val="single"/>
        </w:rPr>
      </w:pPr>
      <w:r w:rsidRPr="00834126">
        <w:rPr>
          <w:rFonts w:cs="Calibri"/>
          <w:b/>
          <w:sz w:val="20"/>
          <w:szCs w:val="20"/>
          <w:u w:val="single"/>
        </w:rPr>
        <w:t>Selected Results</w:t>
      </w:r>
    </w:p>
    <w:p w:rsidR="00FF5E4C" w:rsidRPr="00624B6F" w:rsidRDefault="00FF5E4C" w:rsidP="00624B6F">
      <w:pPr>
        <w:pStyle w:val="NoSpacing"/>
        <w:rPr>
          <w:rFonts w:cs="Calibri"/>
          <w:sz w:val="20"/>
          <w:szCs w:val="20"/>
        </w:rPr>
      </w:pPr>
      <w:r w:rsidRPr="00624B6F">
        <w:rPr>
          <w:rFonts w:cs="Calibri"/>
          <w:sz w:val="20"/>
          <w:szCs w:val="20"/>
        </w:rPr>
        <w:t>The study looked at drivers of adjusted delivered costs, a base case solution and a series of sensitivity cases that test a variety of parameters.  Results of note include:</w:t>
      </w:r>
    </w:p>
    <w:p w:rsidR="00FF5E4C" w:rsidRPr="00624B6F" w:rsidRDefault="00FF5E4C" w:rsidP="00082996">
      <w:pPr>
        <w:pStyle w:val="NoSpacing"/>
        <w:numPr>
          <w:ilvl w:val="0"/>
          <w:numId w:val="18"/>
        </w:numPr>
        <w:rPr>
          <w:rFonts w:cs="Calibri"/>
          <w:sz w:val="20"/>
          <w:szCs w:val="20"/>
        </w:rPr>
      </w:pPr>
      <w:r w:rsidRPr="00624B6F">
        <w:rPr>
          <w:rFonts w:cs="Calibri"/>
          <w:sz w:val="20"/>
          <w:szCs w:val="20"/>
        </w:rPr>
        <w:t>The “individual best resource case” allowed each load zone to identify the most economically attractive resources without regard to competition from other load areas.  Low cost, high value and well located resources (incremental Washington hydro, Nevada and Oregon geothermal) were most “over procured” (400% and greater).  Significant competition between multiple load zones also was identified for California, Wyoming, Montana and Oregon wind, California and BC geothermal, and biomass generally.</w:t>
      </w:r>
    </w:p>
    <w:p w:rsidR="00FF5E4C" w:rsidRPr="00624B6F" w:rsidRDefault="00FF5E4C" w:rsidP="00082996">
      <w:pPr>
        <w:pStyle w:val="NoSpacing"/>
        <w:numPr>
          <w:ilvl w:val="0"/>
          <w:numId w:val="18"/>
        </w:numPr>
        <w:rPr>
          <w:rFonts w:cs="Calibri"/>
          <w:sz w:val="20"/>
          <w:szCs w:val="20"/>
        </w:rPr>
      </w:pPr>
      <w:r w:rsidRPr="00624B6F">
        <w:rPr>
          <w:rFonts w:cs="Calibri"/>
          <w:sz w:val="20"/>
          <w:szCs w:val="20"/>
        </w:rPr>
        <w:t>Competitive cases assume resources are allocated to the load zone that has the most economic benefit (WECC-wide cost minimization, subject to meeting RPS targets and limited renewable resource quantities).</w:t>
      </w:r>
    </w:p>
    <w:p w:rsidR="00FF5E4C" w:rsidRPr="00082996" w:rsidRDefault="00FF5E4C" w:rsidP="00082996">
      <w:pPr>
        <w:pStyle w:val="NoSpacing"/>
        <w:numPr>
          <w:ilvl w:val="0"/>
          <w:numId w:val="18"/>
        </w:numPr>
        <w:rPr>
          <w:rFonts w:cs="Calibri"/>
          <w:sz w:val="20"/>
          <w:szCs w:val="20"/>
        </w:rPr>
      </w:pPr>
      <w:r w:rsidRPr="00624B6F">
        <w:rPr>
          <w:rFonts w:cs="Calibri"/>
          <w:sz w:val="20"/>
          <w:szCs w:val="20"/>
        </w:rPr>
        <w:t xml:space="preserve">Base case (33% RE, delivered to each load zone, see figure 7 and table 7 below) overall WECC resource portfolio is 49% wind.  In Pacific Northwest and Rocky Mountain load zones wind penetration approaches the full 33% requirement.  Solar (29% WECC-wide) is selected only in California (56% of requirement), Nevada (66%) and Arizona (100%).  Geothermal, biomass and hydro make up the remaining 22% </w:t>
      </w:r>
      <w:r w:rsidRPr="00082996">
        <w:rPr>
          <w:rFonts w:cs="Calibri"/>
          <w:sz w:val="20"/>
          <w:szCs w:val="20"/>
        </w:rPr>
        <w:t>of WECC requirement and being economically attractive tend to stay in their more local areas.</w:t>
      </w:r>
    </w:p>
    <w:p w:rsidR="00FF5E4C" w:rsidRPr="00624B6F" w:rsidRDefault="00FF5E4C" w:rsidP="00082996">
      <w:pPr>
        <w:pStyle w:val="NoSpacing"/>
        <w:numPr>
          <w:ilvl w:val="0"/>
          <w:numId w:val="18"/>
        </w:numPr>
        <w:rPr>
          <w:rFonts w:cs="Calibri"/>
          <w:sz w:val="20"/>
          <w:szCs w:val="20"/>
        </w:rPr>
      </w:pPr>
      <w:r w:rsidRPr="00624B6F">
        <w:rPr>
          <w:rFonts w:cs="Calibri"/>
          <w:sz w:val="20"/>
          <w:szCs w:val="20"/>
        </w:rPr>
        <w:t xml:space="preserve">Base case transmission requirements are 18,510 GW-mi at total cost of $26 billion, with emphasis on shorter lines.  Specifically, 57% of renewable energy is procured within 200 miles, 83% within 400 miles and 91% within 600 miles.  </w:t>
      </w:r>
    </w:p>
    <w:p w:rsidR="00FF5E4C" w:rsidRPr="00624B6F" w:rsidRDefault="00FF5E4C" w:rsidP="00BB2216">
      <w:pPr>
        <w:pStyle w:val="NoSpacing"/>
        <w:numPr>
          <w:ilvl w:val="0"/>
          <w:numId w:val="18"/>
        </w:numPr>
        <w:rPr>
          <w:rFonts w:cs="Calibri"/>
          <w:sz w:val="20"/>
          <w:szCs w:val="20"/>
        </w:rPr>
      </w:pPr>
      <w:r w:rsidRPr="00624B6F">
        <w:rPr>
          <w:rFonts w:cs="Calibri"/>
          <w:sz w:val="20"/>
          <w:szCs w:val="20"/>
        </w:rPr>
        <w:t>Transmission expansion is driven largely by five load zones (Calgary, Los Angeles, San Francisco, Seattle and Vancouver) that account for 66% of the transmission GW-miles.  (Large demands, lack of more local resources)  Seattle procures some Oregon and Washington renewables, Nevada and Idaho geothermal and wind from Montana and Wyoming.  The Wyoming to Seattle transmission (over 1,000 miles) is the longest new line in the study.</w:t>
      </w:r>
    </w:p>
    <w:p w:rsidR="00FF5E4C" w:rsidRPr="00624B6F" w:rsidRDefault="00FF5E4C" w:rsidP="00BB2216">
      <w:pPr>
        <w:pStyle w:val="NoSpacing"/>
        <w:numPr>
          <w:ilvl w:val="0"/>
          <w:numId w:val="18"/>
        </w:numPr>
        <w:rPr>
          <w:rFonts w:cs="Calibri"/>
          <w:sz w:val="20"/>
          <w:szCs w:val="20"/>
        </w:rPr>
      </w:pPr>
      <w:r w:rsidRPr="00624B6F">
        <w:rPr>
          <w:rFonts w:cs="Calibri"/>
          <w:sz w:val="20"/>
          <w:szCs w:val="20"/>
        </w:rPr>
        <w:t xml:space="preserve">Transmission and line losses </w:t>
      </w:r>
      <w:r w:rsidRPr="00624B6F">
        <w:rPr>
          <w:rFonts w:cs="Calibri"/>
          <w:sz w:val="20"/>
          <w:szCs w:val="20"/>
          <w:u w:val="single"/>
        </w:rPr>
        <w:t>average</w:t>
      </w:r>
      <w:r w:rsidRPr="00624B6F">
        <w:rPr>
          <w:rFonts w:cs="Calibri"/>
          <w:sz w:val="20"/>
          <w:szCs w:val="20"/>
        </w:rPr>
        <w:t xml:space="preserve"> 15% of total average delivered cost.  Integration adds just 2%.    However, in the Seattle example above, allocated transmission/losses account for a full 55% of the delivered costs.  A footnote refers to preliminary work looking at undersized transmission with resource area storage having potential to reduce overall costs. </w:t>
      </w:r>
    </w:p>
    <w:p w:rsidR="00FF5E4C" w:rsidRPr="00624B6F" w:rsidRDefault="00FF5E4C" w:rsidP="00624B6F">
      <w:pPr>
        <w:pStyle w:val="NoSpacing"/>
        <w:rPr>
          <w:rFonts w:cs="Calibri"/>
          <w:sz w:val="20"/>
          <w:szCs w:val="20"/>
        </w:rPr>
      </w:pPr>
    </w:p>
    <w:p w:rsidR="00FF5E4C" w:rsidRPr="00624B6F" w:rsidRDefault="00FF5E4C" w:rsidP="00624B6F">
      <w:pPr>
        <w:pStyle w:val="NoSpacing"/>
        <w:rPr>
          <w:rFonts w:cs="Calibri"/>
          <w:sz w:val="20"/>
          <w:szCs w:val="20"/>
        </w:rPr>
      </w:pPr>
      <w:r w:rsidRPr="0007596D">
        <w:rPr>
          <w:rFonts w:cs="Calibri"/>
          <w:noProof/>
          <w:sz w:val="20"/>
          <w:szCs w:val="20"/>
        </w:rPr>
        <w:pict>
          <v:shape id="Picture 5" o:spid="_x0000_i1026" type="#_x0000_t75" style="width:402.75pt;height:261pt;visibility:visible">
            <v:imagedata r:id="rId11" o:title=""/>
          </v:shape>
        </w:pict>
      </w:r>
    </w:p>
    <w:p w:rsidR="00FF5E4C" w:rsidRPr="00624B6F" w:rsidRDefault="00FF5E4C" w:rsidP="00624B6F">
      <w:pPr>
        <w:pStyle w:val="NoSpacing"/>
        <w:rPr>
          <w:rFonts w:cs="Calibri"/>
          <w:sz w:val="20"/>
          <w:szCs w:val="20"/>
        </w:rPr>
      </w:pPr>
      <w:r w:rsidRPr="00624B6F">
        <w:rPr>
          <w:rFonts w:cs="Calibri"/>
          <w:sz w:val="20"/>
          <w:szCs w:val="20"/>
        </w:rPr>
        <w:t xml:space="preserve"> </w:t>
      </w:r>
      <w:r w:rsidRPr="0007596D">
        <w:rPr>
          <w:rFonts w:cs="Calibri"/>
          <w:noProof/>
          <w:sz w:val="20"/>
          <w:szCs w:val="20"/>
        </w:rPr>
        <w:pict>
          <v:shape id="Picture 3" o:spid="_x0000_i1027" type="#_x0000_t75" style="width:381pt;height:360.75pt;visibility:visible">
            <v:imagedata r:id="rId12" o:title=""/>
          </v:shape>
        </w:pict>
      </w:r>
    </w:p>
    <w:p w:rsidR="00FF5E4C" w:rsidRPr="00624B6F" w:rsidRDefault="00FF5E4C" w:rsidP="00624B6F">
      <w:pPr>
        <w:pStyle w:val="NoSpacing"/>
        <w:rPr>
          <w:rFonts w:cs="Calibri"/>
          <w:sz w:val="20"/>
          <w:szCs w:val="20"/>
        </w:rPr>
      </w:pPr>
    </w:p>
    <w:p w:rsidR="00FF5E4C" w:rsidRPr="00624B6F" w:rsidRDefault="00FF5E4C" w:rsidP="00624B6F">
      <w:pPr>
        <w:pStyle w:val="NoSpacing"/>
        <w:rPr>
          <w:rFonts w:cs="Calibri"/>
          <w:sz w:val="20"/>
          <w:szCs w:val="20"/>
        </w:rPr>
      </w:pPr>
    </w:p>
    <w:p w:rsidR="00FF5E4C" w:rsidRPr="00624B6F" w:rsidRDefault="00FF5E4C" w:rsidP="00DF57B2">
      <w:pPr>
        <w:pStyle w:val="NoSpacing"/>
        <w:numPr>
          <w:ilvl w:val="0"/>
          <w:numId w:val="19"/>
        </w:numPr>
        <w:rPr>
          <w:rFonts w:cs="Calibri"/>
          <w:sz w:val="20"/>
          <w:szCs w:val="20"/>
        </w:rPr>
      </w:pPr>
      <w:r w:rsidRPr="00624B6F">
        <w:rPr>
          <w:rFonts w:cs="Calibri"/>
          <w:sz w:val="20"/>
          <w:szCs w:val="20"/>
        </w:rPr>
        <w:t>Alternative scenarios (See Figure 11 below) generally indicate wind has a strong competitive position relative to solar.  Geothermal and biomass are generally maxed out in their local areas and are impervious to assumption changes.</w:t>
      </w:r>
    </w:p>
    <w:p w:rsidR="00FF5E4C" w:rsidRPr="00624B6F" w:rsidRDefault="00FF5E4C" w:rsidP="00DF57B2">
      <w:pPr>
        <w:pStyle w:val="NoSpacing"/>
        <w:numPr>
          <w:ilvl w:val="0"/>
          <w:numId w:val="19"/>
        </w:numPr>
        <w:rPr>
          <w:rFonts w:cs="Calibri"/>
          <w:sz w:val="20"/>
          <w:szCs w:val="20"/>
        </w:rPr>
      </w:pPr>
      <w:r w:rsidRPr="00624B6F">
        <w:rPr>
          <w:rFonts w:cs="Calibri"/>
          <w:sz w:val="20"/>
          <w:szCs w:val="20"/>
        </w:rPr>
        <w:t>Economic competition between thermal solar and wind takes place only in the Southwest.  In all cases tested, there are nine load zones (across the northern portion of WECC) that never procure solar.  They are:  Billings, Boise, Calgary, Casper, Denver, Portland, Seattle, Spokane and Vancouver. On the other hand, San Diego always procures only solar.</w:t>
      </w:r>
    </w:p>
    <w:p w:rsidR="00FF5E4C" w:rsidRPr="00624B6F" w:rsidRDefault="00FF5E4C" w:rsidP="00DF57B2">
      <w:pPr>
        <w:pStyle w:val="NoSpacing"/>
        <w:numPr>
          <w:ilvl w:val="0"/>
          <w:numId w:val="19"/>
        </w:numPr>
        <w:rPr>
          <w:rFonts w:cs="Calibri"/>
          <w:sz w:val="20"/>
          <w:szCs w:val="20"/>
        </w:rPr>
      </w:pPr>
      <w:r w:rsidRPr="00624B6F">
        <w:rPr>
          <w:rFonts w:cs="Calibri"/>
          <w:sz w:val="20"/>
          <w:szCs w:val="20"/>
        </w:rPr>
        <w:t>Factors favorable to wind penetration include:</w:t>
      </w:r>
    </w:p>
    <w:p w:rsidR="00FF5E4C" w:rsidRPr="00624B6F" w:rsidRDefault="00FF5E4C" w:rsidP="00DF57B2">
      <w:pPr>
        <w:pStyle w:val="NoSpacing"/>
        <w:numPr>
          <w:ilvl w:val="1"/>
          <w:numId w:val="19"/>
        </w:numPr>
        <w:rPr>
          <w:rFonts w:cs="Calibri"/>
          <w:sz w:val="20"/>
          <w:szCs w:val="20"/>
        </w:rPr>
      </w:pPr>
      <w:r w:rsidRPr="00624B6F">
        <w:rPr>
          <w:rFonts w:cs="Calibri"/>
          <w:sz w:val="20"/>
          <w:szCs w:val="20"/>
        </w:rPr>
        <w:t>Use of HVDC long lines (lower long distance transmission costs)</w:t>
      </w:r>
    </w:p>
    <w:p w:rsidR="00FF5E4C" w:rsidRPr="00624B6F" w:rsidRDefault="00FF5E4C" w:rsidP="00DF57B2">
      <w:pPr>
        <w:pStyle w:val="NoSpacing"/>
        <w:numPr>
          <w:ilvl w:val="1"/>
          <w:numId w:val="19"/>
        </w:numPr>
        <w:rPr>
          <w:rFonts w:cs="Calibri"/>
          <w:sz w:val="20"/>
          <w:szCs w:val="20"/>
        </w:rPr>
      </w:pPr>
      <w:r w:rsidRPr="00624B6F">
        <w:rPr>
          <w:rFonts w:cs="Calibri"/>
          <w:sz w:val="20"/>
          <w:szCs w:val="20"/>
        </w:rPr>
        <w:t>Higher utilization of transmission</w:t>
      </w:r>
    </w:p>
    <w:p w:rsidR="00FF5E4C" w:rsidRPr="00624B6F" w:rsidRDefault="00FF5E4C" w:rsidP="00DF57B2">
      <w:pPr>
        <w:pStyle w:val="NoSpacing"/>
        <w:numPr>
          <w:ilvl w:val="1"/>
          <w:numId w:val="19"/>
        </w:numPr>
        <w:rPr>
          <w:rFonts w:cs="Calibri"/>
          <w:sz w:val="20"/>
          <w:szCs w:val="20"/>
        </w:rPr>
      </w:pPr>
      <w:r w:rsidRPr="00624B6F">
        <w:rPr>
          <w:rFonts w:cs="Calibri"/>
          <w:sz w:val="20"/>
          <w:szCs w:val="20"/>
        </w:rPr>
        <w:t>No federal ITC or PTC (Solar disadvantaged relatively, due to higher capital costs)</w:t>
      </w:r>
    </w:p>
    <w:p w:rsidR="00FF5E4C" w:rsidRPr="00624B6F" w:rsidRDefault="00FF5E4C" w:rsidP="00DF57B2">
      <w:pPr>
        <w:pStyle w:val="NoSpacing"/>
        <w:numPr>
          <w:ilvl w:val="1"/>
          <w:numId w:val="19"/>
        </w:numPr>
        <w:rPr>
          <w:rFonts w:cs="Calibri"/>
          <w:sz w:val="20"/>
          <w:szCs w:val="20"/>
        </w:rPr>
      </w:pPr>
      <w:r w:rsidRPr="00624B6F">
        <w:rPr>
          <w:rFonts w:cs="Calibri"/>
          <w:sz w:val="20"/>
          <w:szCs w:val="20"/>
        </w:rPr>
        <w:t>Solar thermal limited to either dry cooling or without storage</w:t>
      </w:r>
    </w:p>
    <w:p w:rsidR="00FF5E4C" w:rsidRPr="00624B6F" w:rsidRDefault="00FF5E4C" w:rsidP="00DF57B2">
      <w:pPr>
        <w:pStyle w:val="NoSpacing"/>
        <w:numPr>
          <w:ilvl w:val="1"/>
          <w:numId w:val="19"/>
        </w:numPr>
        <w:rPr>
          <w:rFonts w:cs="Calibri"/>
          <w:sz w:val="20"/>
          <w:szCs w:val="20"/>
        </w:rPr>
      </w:pPr>
      <w:r w:rsidRPr="00624B6F">
        <w:rPr>
          <w:rFonts w:cs="Calibri"/>
          <w:sz w:val="20"/>
          <w:szCs w:val="20"/>
        </w:rPr>
        <w:t>Financing comparable to that assumed by solar (25 year)</w:t>
      </w:r>
    </w:p>
    <w:p w:rsidR="00FF5E4C" w:rsidRPr="00624B6F" w:rsidRDefault="00FF5E4C" w:rsidP="00DF57B2">
      <w:pPr>
        <w:pStyle w:val="NoSpacing"/>
        <w:numPr>
          <w:ilvl w:val="1"/>
          <w:numId w:val="19"/>
        </w:numPr>
        <w:rPr>
          <w:rFonts w:cs="Calibri"/>
          <w:sz w:val="20"/>
          <w:szCs w:val="20"/>
        </w:rPr>
      </w:pPr>
      <w:r w:rsidRPr="00624B6F">
        <w:rPr>
          <w:rFonts w:cs="Calibri"/>
          <w:sz w:val="20"/>
          <w:szCs w:val="20"/>
        </w:rPr>
        <w:t>Improvements (cost reductions) in wind technology</w:t>
      </w:r>
    </w:p>
    <w:p w:rsidR="00FF5E4C" w:rsidRPr="00624B6F" w:rsidRDefault="00FF5E4C" w:rsidP="00DF57B2">
      <w:pPr>
        <w:pStyle w:val="NoSpacing"/>
        <w:numPr>
          <w:ilvl w:val="0"/>
          <w:numId w:val="19"/>
        </w:numPr>
        <w:rPr>
          <w:rFonts w:cs="Calibri"/>
          <w:sz w:val="20"/>
          <w:szCs w:val="20"/>
        </w:rPr>
      </w:pPr>
      <w:r w:rsidRPr="00624B6F">
        <w:rPr>
          <w:rFonts w:cs="Calibri"/>
          <w:sz w:val="20"/>
          <w:szCs w:val="20"/>
        </w:rPr>
        <w:t>Factors improving solar thermal’s competitive position include:</w:t>
      </w:r>
    </w:p>
    <w:p w:rsidR="00FF5E4C" w:rsidRPr="00624B6F" w:rsidRDefault="00FF5E4C" w:rsidP="00DF57B2">
      <w:pPr>
        <w:pStyle w:val="NoSpacing"/>
        <w:numPr>
          <w:ilvl w:val="1"/>
          <w:numId w:val="19"/>
        </w:numPr>
        <w:rPr>
          <w:rFonts w:cs="Calibri"/>
          <w:sz w:val="20"/>
          <w:szCs w:val="20"/>
        </w:rPr>
      </w:pPr>
      <w:r w:rsidRPr="00624B6F">
        <w:rPr>
          <w:rFonts w:cs="Calibri"/>
          <w:sz w:val="20"/>
          <w:szCs w:val="20"/>
        </w:rPr>
        <w:t>Technology (cost reduction) improvements</w:t>
      </w:r>
    </w:p>
    <w:p w:rsidR="00FF5E4C" w:rsidRPr="00624B6F" w:rsidRDefault="00FF5E4C" w:rsidP="00DF57B2">
      <w:pPr>
        <w:pStyle w:val="NoSpacing"/>
        <w:numPr>
          <w:ilvl w:val="1"/>
          <w:numId w:val="19"/>
        </w:numPr>
        <w:rPr>
          <w:rFonts w:cs="Calibri"/>
          <w:sz w:val="20"/>
          <w:szCs w:val="20"/>
        </w:rPr>
      </w:pPr>
      <w:r w:rsidRPr="00624B6F">
        <w:rPr>
          <w:rFonts w:cs="Calibri"/>
          <w:sz w:val="20"/>
          <w:szCs w:val="20"/>
        </w:rPr>
        <w:t>Higher wind integration costs (but increasing integration cost from $5 to $10 decreases wind procurement only 3%)</w:t>
      </w:r>
    </w:p>
    <w:p w:rsidR="00FF5E4C" w:rsidRPr="00624B6F" w:rsidRDefault="00FF5E4C" w:rsidP="00DF57B2">
      <w:pPr>
        <w:pStyle w:val="NoSpacing"/>
        <w:numPr>
          <w:ilvl w:val="0"/>
          <w:numId w:val="19"/>
        </w:numPr>
        <w:rPr>
          <w:rFonts w:cs="Calibri"/>
          <w:sz w:val="20"/>
          <w:szCs w:val="20"/>
        </w:rPr>
      </w:pPr>
      <w:r w:rsidRPr="00624B6F">
        <w:rPr>
          <w:rFonts w:cs="Calibri"/>
          <w:sz w:val="20"/>
          <w:szCs w:val="20"/>
        </w:rPr>
        <w:t xml:space="preserve">Renewable Energy Credits (RECs) cases </w:t>
      </w:r>
    </w:p>
    <w:p w:rsidR="00FF5E4C" w:rsidRPr="00624B6F" w:rsidRDefault="00FF5E4C" w:rsidP="00DF57B2">
      <w:pPr>
        <w:pStyle w:val="NoSpacing"/>
        <w:numPr>
          <w:ilvl w:val="1"/>
          <w:numId w:val="19"/>
        </w:numPr>
        <w:rPr>
          <w:rFonts w:cs="Calibri"/>
          <w:sz w:val="20"/>
          <w:szCs w:val="20"/>
        </w:rPr>
      </w:pPr>
      <w:r w:rsidRPr="00624B6F">
        <w:rPr>
          <w:rFonts w:cs="Calibri"/>
          <w:sz w:val="20"/>
          <w:szCs w:val="20"/>
        </w:rPr>
        <w:t>Unrestricted trading of RECs (WECC REC case) resulted in unrealistic outcomes; some load zones would procure nearly 100% of their energy, selling off the RECs in excess of the 33% requirement.</w:t>
      </w:r>
    </w:p>
    <w:p w:rsidR="00FF5E4C" w:rsidRPr="00624B6F" w:rsidRDefault="00FF5E4C" w:rsidP="00DF57B2">
      <w:pPr>
        <w:pStyle w:val="NoSpacing"/>
        <w:numPr>
          <w:ilvl w:val="1"/>
          <w:numId w:val="19"/>
        </w:numPr>
        <w:rPr>
          <w:rFonts w:cs="Calibri"/>
          <w:sz w:val="20"/>
          <w:szCs w:val="20"/>
        </w:rPr>
      </w:pPr>
      <w:r w:rsidRPr="00624B6F">
        <w:rPr>
          <w:rFonts w:cs="Calibri"/>
          <w:sz w:val="20"/>
          <w:szCs w:val="20"/>
        </w:rPr>
        <w:t>A limiting case (REC with limits case, no more than 33% of any one technology, no more than 50% RE in aggregate) had intuitive results:</w:t>
      </w:r>
    </w:p>
    <w:p w:rsidR="00FF5E4C" w:rsidRPr="00624B6F" w:rsidRDefault="00FF5E4C" w:rsidP="00DF57B2">
      <w:pPr>
        <w:pStyle w:val="NoSpacing"/>
        <w:numPr>
          <w:ilvl w:val="2"/>
          <w:numId w:val="19"/>
        </w:numPr>
        <w:rPr>
          <w:rFonts w:cs="Calibri"/>
          <w:sz w:val="20"/>
          <w:szCs w:val="20"/>
        </w:rPr>
      </w:pPr>
      <w:r w:rsidRPr="00624B6F">
        <w:rPr>
          <w:rFonts w:cs="Calibri"/>
          <w:sz w:val="20"/>
          <w:szCs w:val="20"/>
        </w:rPr>
        <w:t xml:space="preserve">Load zones with high marginal RE costs (long lines) in the Base Case (Vancouver (lack of ITC), Seattle, San Francisco) tend to procure less and buy RECs from those zones enjoying access to lower cost RE </w:t>
      </w:r>
    </w:p>
    <w:p w:rsidR="00FF5E4C" w:rsidRPr="00624B6F" w:rsidRDefault="00FF5E4C" w:rsidP="00DF57B2">
      <w:pPr>
        <w:pStyle w:val="NoSpacing"/>
        <w:numPr>
          <w:ilvl w:val="2"/>
          <w:numId w:val="19"/>
        </w:numPr>
        <w:rPr>
          <w:rFonts w:cs="Calibri"/>
          <w:sz w:val="20"/>
          <w:szCs w:val="20"/>
        </w:rPr>
      </w:pPr>
      <w:r w:rsidRPr="00624B6F">
        <w:rPr>
          <w:rFonts w:cs="Calibri"/>
          <w:sz w:val="20"/>
          <w:szCs w:val="20"/>
        </w:rPr>
        <w:t>Zones with access to diverse RE technologies have the greater opportunity to procure excess renewables and sell RECs (Los Angeles and to a lesser extent Phoenix and Portland)</w:t>
      </w:r>
    </w:p>
    <w:p w:rsidR="00FF5E4C" w:rsidRPr="00624B6F" w:rsidRDefault="00FF5E4C" w:rsidP="00DF57B2">
      <w:pPr>
        <w:pStyle w:val="NoSpacing"/>
        <w:numPr>
          <w:ilvl w:val="2"/>
          <w:numId w:val="19"/>
        </w:numPr>
        <w:rPr>
          <w:rFonts w:cs="Calibri"/>
          <w:sz w:val="20"/>
          <w:szCs w:val="20"/>
        </w:rPr>
      </w:pPr>
      <w:r w:rsidRPr="00624B6F">
        <w:rPr>
          <w:rFonts w:cs="Calibri"/>
          <w:sz w:val="20"/>
          <w:szCs w:val="20"/>
        </w:rPr>
        <w:t>Single technology load zones (Denver – wind) were capped by the definition of the case</w:t>
      </w:r>
    </w:p>
    <w:p w:rsidR="00FF5E4C" w:rsidRPr="00624B6F" w:rsidRDefault="00FF5E4C" w:rsidP="00DF57B2">
      <w:pPr>
        <w:pStyle w:val="NoSpacing"/>
        <w:numPr>
          <w:ilvl w:val="1"/>
          <w:numId w:val="19"/>
        </w:numPr>
        <w:rPr>
          <w:rFonts w:cs="Calibri"/>
          <w:sz w:val="20"/>
          <w:szCs w:val="20"/>
        </w:rPr>
      </w:pPr>
      <w:r w:rsidRPr="00624B6F">
        <w:rPr>
          <w:rFonts w:cs="Calibri"/>
          <w:sz w:val="20"/>
          <w:szCs w:val="20"/>
        </w:rPr>
        <w:t xml:space="preserve">Transmission capital investment drops in the RECs with limits case by $8.4 billion (Base Case transmission capital $26 billion) </w:t>
      </w:r>
    </w:p>
    <w:p w:rsidR="00FF5E4C" w:rsidRPr="00624B6F" w:rsidRDefault="00FF5E4C" w:rsidP="00624B6F">
      <w:pPr>
        <w:pStyle w:val="NoSpacing"/>
        <w:rPr>
          <w:rFonts w:cs="Calibri"/>
          <w:sz w:val="20"/>
          <w:szCs w:val="20"/>
        </w:rPr>
      </w:pPr>
    </w:p>
    <w:p w:rsidR="00FF5E4C" w:rsidRPr="00624B6F" w:rsidRDefault="00FF5E4C" w:rsidP="00624B6F">
      <w:pPr>
        <w:pStyle w:val="NoSpacing"/>
        <w:rPr>
          <w:rFonts w:cs="Calibri"/>
          <w:sz w:val="20"/>
          <w:szCs w:val="20"/>
        </w:rPr>
      </w:pPr>
    </w:p>
    <w:p w:rsidR="00FF5E4C" w:rsidRPr="00624B6F" w:rsidRDefault="00FF5E4C" w:rsidP="00624B6F">
      <w:pPr>
        <w:pStyle w:val="NoSpacing"/>
        <w:rPr>
          <w:rFonts w:cs="Calibri"/>
          <w:sz w:val="20"/>
          <w:szCs w:val="20"/>
        </w:rPr>
      </w:pPr>
    </w:p>
    <w:p w:rsidR="00FF5E4C" w:rsidRDefault="00FF5E4C" w:rsidP="00624B6F">
      <w:pPr>
        <w:spacing w:line="240" w:lineRule="auto"/>
      </w:pPr>
      <w:r w:rsidRPr="0019055B">
        <w:rPr>
          <w:noProof/>
        </w:rPr>
        <w:pict>
          <v:shape id="Picture 6" o:spid="_x0000_i1028" type="#_x0000_t75" style="width:421.5pt;height:384.75pt;visibility:visible">
            <v:imagedata r:id="rId13" o:title=""/>
          </v:shape>
        </w:pict>
      </w:r>
    </w:p>
    <w:p w:rsidR="00FF5E4C" w:rsidRDefault="00FF5E4C" w:rsidP="00624B6F">
      <w:pPr>
        <w:spacing w:line="240" w:lineRule="auto"/>
      </w:pPr>
    </w:p>
    <w:p w:rsidR="00FF5E4C" w:rsidRPr="00834126" w:rsidRDefault="00FF5E4C" w:rsidP="00834126">
      <w:pPr>
        <w:pStyle w:val="Heading3"/>
        <w:rPr>
          <w:rFonts w:ascii="Calibri" w:hAnsi="Calibri" w:cs="Calibri"/>
          <w:color w:val="000000"/>
          <w:sz w:val="20"/>
          <w:szCs w:val="20"/>
        </w:rPr>
      </w:pPr>
      <w:bookmarkStart w:id="6" w:name="_Toc260752697"/>
      <w:r w:rsidRPr="00834126">
        <w:rPr>
          <w:rFonts w:ascii="Calibri" w:hAnsi="Calibri" w:cs="Calibri"/>
          <w:color w:val="000000"/>
          <w:sz w:val="20"/>
          <w:szCs w:val="20"/>
        </w:rPr>
        <w:t xml:space="preserve">Berkeley Labs (LBL) and Black &amp; Veatch </w:t>
      </w:r>
      <w:r>
        <w:rPr>
          <w:rFonts w:ascii="Calibri" w:hAnsi="Calibri" w:cs="Calibri"/>
          <w:color w:val="000000"/>
          <w:sz w:val="20"/>
          <w:szCs w:val="20"/>
        </w:rPr>
        <w:t>- A</w:t>
      </w:r>
      <w:r w:rsidRPr="00834126">
        <w:rPr>
          <w:rFonts w:ascii="Calibri" w:hAnsi="Calibri" w:cs="Calibri"/>
          <w:color w:val="000000"/>
          <w:sz w:val="20"/>
          <w:szCs w:val="20"/>
        </w:rPr>
        <w:t xml:space="preserve">nalyses of </w:t>
      </w:r>
      <w:r>
        <w:rPr>
          <w:rFonts w:ascii="Calibri" w:hAnsi="Calibri" w:cs="Calibri"/>
          <w:color w:val="000000"/>
          <w:sz w:val="20"/>
          <w:szCs w:val="20"/>
        </w:rPr>
        <w:t>C</w:t>
      </w:r>
      <w:r w:rsidRPr="00834126">
        <w:rPr>
          <w:rFonts w:ascii="Calibri" w:hAnsi="Calibri" w:cs="Calibri"/>
          <w:color w:val="000000"/>
          <w:sz w:val="20"/>
          <w:szCs w:val="20"/>
        </w:rPr>
        <w:t xml:space="preserve">osts of </w:t>
      </w:r>
      <w:r>
        <w:rPr>
          <w:rFonts w:ascii="Calibri" w:hAnsi="Calibri" w:cs="Calibri"/>
          <w:color w:val="000000"/>
          <w:sz w:val="20"/>
          <w:szCs w:val="20"/>
        </w:rPr>
        <w:t>R</w:t>
      </w:r>
      <w:r w:rsidRPr="00834126">
        <w:rPr>
          <w:rFonts w:ascii="Calibri" w:hAnsi="Calibri" w:cs="Calibri"/>
          <w:color w:val="000000"/>
          <w:sz w:val="20"/>
          <w:szCs w:val="20"/>
        </w:rPr>
        <w:t xml:space="preserve">enewable </w:t>
      </w:r>
      <w:r>
        <w:rPr>
          <w:rFonts w:ascii="Calibri" w:hAnsi="Calibri" w:cs="Calibri"/>
          <w:color w:val="000000"/>
          <w:sz w:val="20"/>
          <w:szCs w:val="20"/>
        </w:rPr>
        <w:t>R</w:t>
      </w:r>
      <w:r w:rsidRPr="00834126">
        <w:rPr>
          <w:rFonts w:ascii="Calibri" w:hAnsi="Calibri" w:cs="Calibri"/>
          <w:color w:val="000000"/>
          <w:sz w:val="20"/>
          <w:szCs w:val="20"/>
        </w:rPr>
        <w:t>esources</w:t>
      </w:r>
      <w:bookmarkEnd w:id="6"/>
    </w:p>
    <w:p w:rsidR="00FF5E4C" w:rsidRDefault="00FF5E4C" w:rsidP="00183B79">
      <w:pPr>
        <w:pStyle w:val="NoSpacing"/>
        <w:jc w:val="both"/>
        <w:rPr>
          <w:rFonts w:cs="Calibri"/>
          <w:sz w:val="20"/>
          <w:szCs w:val="20"/>
        </w:rPr>
      </w:pPr>
    </w:p>
    <w:p w:rsidR="00FF5E4C" w:rsidRPr="008A6A8B" w:rsidRDefault="00FF5E4C" w:rsidP="00183B79">
      <w:pPr>
        <w:pStyle w:val="NoSpacing"/>
        <w:jc w:val="both"/>
        <w:rPr>
          <w:rFonts w:cs="Calibri"/>
          <w:b/>
          <w:bCs/>
          <w:sz w:val="20"/>
          <w:szCs w:val="20"/>
          <w:u w:val="single"/>
        </w:rPr>
      </w:pPr>
      <w:r w:rsidRPr="008A6A8B">
        <w:rPr>
          <w:rFonts w:cs="Calibri"/>
          <w:sz w:val="20"/>
          <w:szCs w:val="20"/>
        </w:rPr>
        <w:t> </w:t>
      </w:r>
      <w:r w:rsidRPr="008A6A8B">
        <w:rPr>
          <w:rFonts w:cs="Calibri"/>
          <w:b/>
          <w:bCs/>
          <w:sz w:val="20"/>
          <w:szCs w:val="20"/>
          <w:u w:val="single"/>
        </w:rPr>
        <w:t>Exploration of Resource and Transmission Expansion Decisions in the Western Renewable Energy Zone (WREZ) Initiative</w:t>
      </w:r>
    </w:p>
    <w:p w:rsidR="00FF5E4C" w:rsidRDefault="00FF5E4C" w:rsidP="00183B79">
      <w:pPr>
        <w:pStyle w:val="NoSpacing"/>
        <w:jc w:val="both"/>
        <w:rPr>
          <w:rFonts w:cs="Calibri"/>
          <w:b/>
          <w:bCs/>
          <w:sz w:val="20"/>
          <w:szCs w:val="20"/>
          <w:u w:val="single"/>
        </w:rPr>
      </w:pPr>
    </w:p>
    <w:p w:rsidR="00FF5E4C" w:rsidRPr="008A6A8B" w:rsidRDefault="00FF5E4C" w:rsidP="00183B79">
      <w:pPr>
        <w:pStyle w:val="NoSpacing"/>
        <w:jc w:val="both"/>
        <w:rPr>
          <w:rFonts w:cs="Calibri"/>
          <w:b/>
          <w:sz w:val="20"/>
          <w:szCs w:val="20"/>
          <w:u w:val="single"/>
        </w:rPr>
      </w:pPr>
      <w:r w:rsidRPr="008A6A8B">
        <w:rPr>
          <w:rFonts w:cs="Calibri"/>
          <w:b/>
          <w:bCs/>
          <w:sz w:val="20"/>
          <w:szCs w:val="20"/>
          <w:u w:val="single"/>
        </w:rPr>
        <w:t xml:space="preserve">Andrew Mills, Amol Phadke, and Ryan Wiser </w:t>
      </w:r>
      <w:r w:rsidRPr="008A6A8B">
        <w:rPr>
          <w:rFonts w:cs="Calibri"/>
          <w:b/>
          <w:sz w:val="20"/>
          <w:szCs w:val="20"/>
          <w:u w:val="single"/>
        </w:rPr>
        <w:t>Lawrence Berkeley National Laboratory</w:t>
      </w:r>
      <w:r w:rsidRPr="008A6A8B">
        <w:rPr>
          <w:rFonts w:cs="Calibri"/>
          <w:b/>
          <w:bCs/>
          <w:sz w:val="20"/>
          <w:szCs w:val="20"/>
          <w:u w:val="single"/>
        </w:rPr>
        <w:t xml:space="preserve"> February</w:t>
      </w:r>
      <w:r w:rsidRPr="008A6A8B">
        <w:rPr>
          <w:rFonts w:cs="Calibri"/>
          <w:b/>
          <w:sz w:val="20"/>
          <w:szCs w:val="20"/>
          <w:u w:val="single"/>
        </w:rPr>
        <w:t xml:space="preserve"> 2010</w:t>
      </w:r>
    </w:p>
    <w:p w:rsidR="00FF5E4C" w:rsidRDefault="00FF5E4C" w:rsidP="00183B79">
      <w:pPr>
        <w:pStyle w:val="NoSpacing"/>
        <w:jc w:val="both"/>
        <w:rPr>
          <w:rFonts w:cs="Calibri"/>
          <w:sz w:val="20"/>
          <w:szCs w:val="20"/>
        </w:rPr>
      </w:pPr>
    </w:p>
    <w:p w:rsidR="00FF5E4C" w:rsidRPr="00BE5514" w:rsidRDefault="00FF5E4C" w:rsidP="00183B79">
      <w:pPr>
        <w:pStyle w:val="NoSpacing"/>
        <w:jc w:val="both"/>
        <w:rPr>
          <w:rFonts w:cs="Calibri"/>
          <w:sz w:val="20"/>
          <w:szCs w:val="20"/>
          <w:lang w:val="fr-FR"/>
        </w:rPr>
      </w:pPr>
      <w:r w:rsidRPr="00BE5514">
        <w:rPr>
          <w:rFonts w:cs="Calibri"/>
          <w:sz w:val="20"/>
          <w:szCs w:val="20"/>
          <w:lang w:val="fr-FR"/>
        </w:rPr>
        <w:t xml:space="preserve">Source: </w:t>
      </w:r>
      <w:hyperlink r:id="rId14" w:history="1">
        <w:r w:rsidRPr="00391ECF">
          <w:rPr>
            <w:rStyle w:val="Hyperlink"/>
            <w:rFonts w:cs="Calibri"/>
            <w:sz w:val="20"/>
            <w:szCs w:val="20"/>
            <w:lang w:val="fr-FR"/>
          </w:rPr>
          <w:t>http://eetd.lbl.gov/ea/ems/reports/lbnl-3077e-ppt.pdf</w:t>
        </w:r>
      </w:hyperlink>
      <w:r>
        <w:t xml:space="preserve">  </w:t>
      </w:r>
    </w:p>
    <w:p w:rsidR="00FF5E4C" w:rsidRPr="00BE5514" w:rsidRDefault="00FF5E4C" w:rsidP="00183B79">
      <w:pPr>
        <w:pStyle w:val="NoSpacing"/>
        <w:jc w:val="both"/>
        <w:rPr>
          <w:rFonts w:cs="Calibri"/>
          <w:sz w:val="20"/>
          <w:szCs w:val="20"/>
          <w:lang w:val="fr-FR"/>
        </w:rPr>
      </w:pPr>
    </w:p>
    <w:p w:rsidR="00FF5E4C" w:rsidRPr="008A6A8B" w:rsidRDefault="00FF5E4C" w:rsidP="00183B79">
      <w:pPr>
        <w:pStyle w:val="NoSpacing"/>
        <w:jc w:val="both"/>
        <w:rPr>
          <w:rFonts w:cs="Calibri"/>
          <w:sz w:val="20"/>
          <w:szCs w:val="20"/>
        </w:rPr>
      </w:pPr>
      <w:r w:rsidRPr="008A6A8B">
        <w:rPr>
          <w:rFonts w:cs="Calibri"/>
          <w:sz w:val="20"/>
          <w:szCs w:val="20"/>
        </w:rPr>
        <w:t>The LBL study works entirely within the Western Renewable Energy Zones (WREZ) framework which is a project undertaken by the Western Governors' Initiative (WGI).  LBL conducted their study using several scenarios:</w:t>
      </w:r>
    </w:p>
    <w:p w:rsidR="00FF5E4C" w:rsidRPr="008A6A8B" w:rsidRDefault="00FF5E4C" w:rsidP="00183B79">
      <w:pPr>
        <w:pStyle w:val="NoSpacing"/>
        <w:numPr>
          <w:ilvl w:val="0"/>
          <w:numId w:val="12"/>
        </w:numPr>
        <w:jc w:val="both"/>
        <w:rPr>
          <w:rFonts w:cs="Calibri"/>
          <w:sz w:val="20"/>
          <w:szCs w:val="20"/>
        </w:rPr>
      </w:pPr>
      <w:r w:rsidRPr="008A6A8B">
        <w:rPr>
          <w:rFonts w:cs="Calibri"/>
          <w:sz w:val="20"/>
          <w:szCs w:val="20"/>
        </w:rPr>
        <w:t>Impact of Level of Renewable Energy (RE) Demand (12%, 25%, and 33% WECC-wide RPS)</w:t>
      </w:r>
    </w:p>
    <w:p w:rsidR="00FF5E4C" w:rsidRPr="008A6A8B" w:rsidRDefault="00FF5E4C" w:rsidP="00183B79">
      <w:pPr>
        <w:pStyle w:val="NoSpacing"/>
        <w:numPr>
          <w:ilvl w:val="0"/>
          <w:numId w:val="12"/>
        </w:numPr>
        <w:jc w:val="both"/>
        <w:rPr>
          <w:rFonts w:cs="Calibri"/>
          <w:sz w:val="20"/>
          <w:szCs w:val="20"/>
        </w:rPr>
      </w:pPr>
      <w:r w:rsidRPr="008A6A8B">
        <w:rPr>
          <w:rFonts w:cs="Calibri"/>
          <w:sz w:val="20"/>
          <w:szCs w:val="20"/>
        </w:rPr>
        <w:t>Base Case: WECC-wide 33% RE Delivered to Each Load Zone</w:t>
      </w:r>
    </w:p>
    <w:p w:rsidR="00FF5E4C" w:rsidRPr="008A6A8B" w:rsidRDefault="00FF5E4C" w:rsidP="00183B79">
      <w:pPr>
        <w:pStyle w:val="NoSpacing"/>
        <w:numPr>
          <w:ilvl w:val="0"/>
          <w:numId w:val="12"/>
        </w:numPr>
        <w:jc w:val="both"/>
        <w:rPr>
          <w:rFonts w:cs="Calibri"/>
          <w:sz w:val="20"/>
          <w:szCs w:val="20"/>
        </w:rPr>
      </w:pPr>
      <w:r w:rsidRPr="008A6A8B">
        <w:rPr>
          <w:rFonts w:cs="Calibri"/>
          <w:sz w:val="20"/>
          <w:szCs w:val="20"/>
        </w:rPr>
        <w:t>Alternative Scenarios with 33% RE Delivered to Each Load Zone</w:t>
      </w:r>
    </w:p>
    <w:p w:rsidR="00FF5E4C" w:rsidRPr="008A6A8B" w:rsidRDefault="00FF5E4C" w:rsidP="00183B79">
      <w:pPr>
        <w:pStyle w:val="NoSpacing"/>
        <w:numPr>
          <w:ilvl w:val="0"/>
          <w:numId w:val="12"/>
        </w:numPr>
        <w:jc w:val="both"/>
        <w:rPr>
          <w:rFonts w:cs="Calibri"/>
          <w:sz w:val="20"/>
          <w:szCs w:val="20"/>
        </w:rPr>
      </w:pPr>
      <w:r w:rsidRPr="008A6A8B">
        <w:rPr>
          <w:rFonts w:cs="Calibri"/>
          <w:sz w:val="20"/>
          <w:szCs w:val="20"/>
        </w:rPr>
        <w:t>Alternative Scenarios with Tradable Renewable Energy Credits</w:t>
      </w:r>
    </w:p>
    <w:p w:rsidR="00FF5E4C" w:rsidRDefault="00FF5E4C" w:rsidP="00183B79">
      <w:pPr>
        <w:pStyle w:val="NoSpacing"/>
        <w:jc w:val="both"/>
        <w:rPr>
          <w:rFonts w:cs="Calibri"/>
          <w:b/>
          <w:sz w:val="20"/>
          <w:szCs w:val="20"/>
          <w:u w:val="single"/>
        </w:rPr>
      </w:pPr>
    </w:p>
    <w:p w:rsidR="00FF5E4C" w:rsidRPr="008A6A8B" w:rsidRDefault="00FF5E4C" w:rsidP="00183B79">
      <w:pPr>
        <w:pStyle w:val="NoSpacing"/>
        <w:jc w:val="both"/>
        <w:rPr>
          <w:rFonts w:cs="Calibri"/>
          <w:b/>
          <w:sz w:val="20"/>
          <w:szCs w:val="20"/>
          <w:u w:val="single"/>
        </w:rPr>
      </w:pPr>
      <w:r w:rsidRPr="008A6A8B">
        <w:rPr>
          <w:rFonts w:cs="Calibri"/>
          <w:b/>
          <w:sz w:val="20"/>
          <w:szCs w:val="20"/>
          <w:u w:val="single"/>
        </w:rPr>
        <w:t>Some of the basic key findings from the LBL analysis include:</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 xml:space="preserve">Increasing renewable energy demands increase costs, as less economically attractive resources are required to meet higher targets </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 xml:space="preserve">Wind energy is found to be the largest contributor to meeting WECC-wide renewable energy demands when only resources from the WREZ resource hubs are considered </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 xml:space="preserve">Hydropower, biomass, and geothermal contributions do not change significantly with increasing renewable demand or changes to key assumptions </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 xml:space="preserve">Key uncertainties can shift the balance between wind and solar in the renewable resource portfolio </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Solar thermal with storage becomes more attractive based on its capacity value</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High Bus-bar Costs of Solar Are Offset by High TOD Energy and Capacity Value</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In the 33% WECC-wide RPS case, Wind provides 49% of the renewable energy but drives 63% of transmission expansion</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Average energy and capacity value of solar with thermal storage is $34/MWh greater than wind</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 xml:space="preserve">The costs of meeting renewable energy targets within the West are heterogeneous without Renewable Energy Credits (RECs) </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 xml:space="preserve">Transmission investment costs are substantial at $17-34 billion, but represent only 10-19% of the total renewable supply cost required to meet a 33% target </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 xml:space="preserve">Long transmission lines can be economically justified in particular cases, but the majority of transmission lines are found to be relatively short </w:t>
      </w:r>
    </w:p>
    <w:p w:rsidR="00FF5E4C" w:rsidRPr="008A6A8B" w:rsidRDefault="00FF5E4C" w:rsidP="00183B79">
      <w:pPr>
        <w:pStyle w:val="NoSpacing"/>
        <w:numPr>
          <w:ilvl w:val="0"/>
          <w:numId w:val="13"/>
        </w:numPr>
        <w:jc w:val="both"/>
        <w:rPr>
          <w:rFonts w:cs="Calibri"/>
          <w:sz w:val="20"/>
          <w:szCs w:val="20"/>
        </w:rPr>
      </w:pPr>
      <w:r w:rsidRPr="008A6A8B">
        <w:rPr>
          <w:rFonts w:cs="Calibri"/>
          <w:sz w:val="20"/>
          <w:szCs w:val="20"/>
        </w:rPr>
        <w:t xml:space="preserve">Transmission expansion needs and overall costs can be reduced through the use of RECs, equating to an average savings of as much as $6/MWh of renewable generation </w:t>
      </w:r>
    </w:p>
    <w:p w:rsidR="00FF5E4C" w:rsidRDefault="00FF5E4C" w:rsidP="00183B79">
      <w:pPr>
        <w:pStyle w:val="NoSpacing"/>
        <w:jc w:val="both"/>
        <w:rPr>
          <w:rFonts w:cs="Calibri"/>
          <w:b/>
          <w:sz w:val="20"/>
          <w:szCs w:val="20"/>
          <w:u w:val="single"/>
        </w:rPr>
      </w:pPr>
    </w:p>
    <w:p w:rsidR="00FF5E4C" w:rsidRPr="008A6A8B" w:rsidRDefault="00FF5E4C" w:rsidP="00183B79">
      <w:pPr>
        <w:pStyle w:val="NoSpacing"/>
        <w:jc w:val="both"/>
        <w:rPr>
          <w:rFonts w:cs="Calibri"/>
          <w:b/>
          <w:sz w:val="20"/>
          <w:szCs w:val="20"/>
          <w:u w:val="single"/>
        </w:rPr>
      </w:pPr>
      <w:r w:rsidRPr="008A6A8B">
        <w:rPr>
          <w:rFonts w:cs="Calibri"/>
          <w:b/>
          <w:sz w:val="20"/>
          <w:szCs w:val="20"/>
          <w:u w:val="single"/>
        </w:rPr>
        <w:t>Some of the key drawbacks of the LBL study include:</w:t>
      </w:r>
    </w:p>
    <w:p w:rsidR="00FF5E4C" w:rsidRPr="008A6A8B" w:rsidRDefault="00FF5E4C" w:rsidP="00183B79">
      <w:pPr>
        <w:pStyle w:val="NoSpacing"/>
        <w:numPr>
          <w:ilvl w:val="0"/>
          <w:numId w:val="14"/>
        </w:numPr>
        <w:jc w:val="both"/>
        <w:rPr>
          <w:rFonts w:cs="Calibri"/>
          <w:sz w:val="20"/>
          <w:szCs w:val="20"/>
        </w:rPr>
      </w:pPr>
      <w:r w:rsidRPr="008A6A8B">
        <w:rPr>
          <w:rFonts w:cs="Calibri"/>
          <w:sz w:val="20"/>
          <w:szCs w:val="20"/>
        </w:rPr>
        <w:t>Only resources in defined renewable resource zones are considered</w:t>
      </w:r>
    </w:p>
    <w:p w:rsidR="00FF5E4C" w:rsidRPr="008A6A8B" w:rsidRDefault="00FF5E4C" w:rsidP="00183B79">
      <w:pPr>
        <w:pStyle w:val="NoSpacing"/>
        <w:numPr>
          <w:ilvl w:val="0"/>
          <w:numId w:val="14"/>
        </w:numPr>
        <w:jc w:val="both"/>
        <w:rPr>
          <w:rFonts w:cs="Calibri"/>
          <w:sz w:val="20"/>
          <w:szCs w:val="20"/>
        </w:rPr>
      </w:pPr>
      <w:r w:rsidRPr="008A6A8B">
        <w:rPr>
          <w:rFonts w:cs="Calibri"/>
          <w:sz w:val="20"/>
          <w:szCs w:val="20"/>
        </w:rPr>
        <w:t>Renewable zone potentials have not been reduced by existing projects</w:t>
      </w:r>
    </w:p>
    <w:p w:rsidR="00FF5E4C" w:rsidRPr="008A6A8B" w:rsidRDefault="00FF5E4C" w:rsidP="00183B79">
      <w:pPr>
        <w:pStyle w:val="NoSpacing"/>
        <w:numPr>
          <w:ilvl w:val="0"/>
          <w:numId w:val="14"/>
        </w:numPr>
        <w:jc w:val="both"/>
        <w:rPr>
          <w:rFonts w:cs="Calibri"/>
          <w:sz w:val="20"/>
          <w:szCs w:val="20"/>
        </w:rPr>
      </w:pPr>
      <w:r w:rsidRPr="008A6A8B">
        <w:rPr>
          <w:rFonts w:cs="Calibri"/>
          <w:sz w:val="20"/>
          <w:szCs w:val="20"/>
        </w:rPr>
        <w:t>No existing transmission is assumed.  New resources are allocated 100% of transmission costs</w:t>
      </w:r>
    </w:p>
    <w:p w:rsidR="00FF5E4C" w:rsidRPr="008A6A8B" w:rsidRDefault="00FF5E4C" w:rsidP="00183B79">
      <w:pPr>
        <w:pStyle w:val="NoSpacing"/>
        <w:numPr>
          <w:ilvl w:val="0"/>
          <w:numId w:val="14"/>
        </w:numPr>
        <w:jc w:val="both"/>
        <w:rPr>
          <w:rFonts w:cs="Calibri"/>
          <w:sz w:val="20"/>
          <w:szCs w:val="20"/>
        </w:rPr>
      </w:pPr>
      <w:r w:rsidRPr="008A6A8B">
        <w:rPr>
          <w:rFonts w:cs="Calibri"/>
          <w:sz w:val="20"/>
          <w:szCs w:val="20"/>
        </w:rPr>
        <w:t>Transmission is built on a pro-rata basis meaning that exactly the amount of transmission needed for a resource is built</w:t>
      </w:r>
    </w:p>
    <w:p w:rsidR="00FF5E4C" w:rsidRPr="008A6A8B" w:rsidRDefault="00FF5E4C" w:rsidP="00183B79">
      <w:pPr>
        <w:pStyle w:val="NoSpacing"/>
        <w:numPr>
          <w:ilvl w:val="0"/>
          <w:numId w:val="14"/>
        </w:numPr>
        <w:jc w:val="both"/>
        <w:rPr>
          <w:rFonts w:cs="Calibri"/>
          <w:sz w:val="20"/>
          <w:szCs w:val="20"/>
        </w:rPr>
      </w:pPr>
      <w:r w:rsidRPr="008A6A8B">
        <w:rPr>
          <w:rFonts w:cs="Calibri"/>
          <w:sz w:val="20"/>
          <w:szCs w:val="20"/>
        </w:rPr>
        <w:t>Market value of renewable energy doesn’t change as penetration level increases</w:t>
      </w:r>
    </w:p>
    <w:p w:rsidR="00FF5E4C" w:rsidRPr="008A6A8B" w:rsidRDefault="00FF5E4C" w:rsidP="00183B79">
      <w:pPr>
        <w:pStyle w:val="NoSpacing"/>
        <w:numPr>
          <w:ilvl w:val="0"/>
          <w:numId w:val="14"/>
        </w:numPr>
        <w:jc w:val="both"/>
        <w:rPr>
          <w:rFonts w:cs="Calibri"/>
          <w:sz w:val="20"/>
          <w:szCs w:val="20"/>
        </w:rPr>
      </w:pPr>
      <w:r w:rsidRPr="008A6A8B">
        <w:rPr>
          <w:rFonts w:cs="Calibri"/>
          <w:sz w:val="20"/>
          <w:szCs w:val="20"/>
        </w:rPr>
        <w:t>Does not consider the impact of increasing wind integration costs ($/MWh) with higher penetration levels.</w:t>
      </w:r>
    </w:p>
    <w:p w:rsidR="00FF5E4C" w:rsidRPr="008A6A8B" w:rsidRDefault="00FF5E4C" w:rsidP="00183B79">
      <w:pPr>
        <w:pStyle w:val="NoSpacing"/>
        <w:numPr>
          <w:ilvl w:val="0"/>
          <w:numId w:val="14"/>
        </w:numPr>
        <w:jc w:val="both"/>
        <w:rPr>
          <w:rFonts w:cs="Calibri"/>
          <w:sz w:val="20"/>
          <w:szCs w:val="20"/>
        </w:rPr>
      </w:pPr>
      <w:r w:rsidRPr="008A6A8B">
        <w:rPr>
          <w:rFonts w:cs="Calibri"/>
          <w:sz w:val="20"/>
          <w:szCs w:val="20"/>
        </w:rPr>
        <w:t>Does not consider the need for intermediate resources to balance intermittent generation</w:t>
      </w:r>
    </w:p>
    <w:p w:rsidR="00FF5E4C" w:rsidRDefault="00FF5E4C" w:rsidP="006275AC">
      <w:pPr>
        <w:pStyle w:val="NoSpacing"/>
        <w:jc w:val="both"/>
        <w:rPr>
          <w:rFonts w:cs="Calibri"/>
          <w:b/>
          <w:bCs/>
          <w:sz w:val="20"/>
          <w:szCs w:val="20"/>
          <w:u w:val="single"/>
        </w:rPr>
      </w:pPr>
    </w:p>
    <w:p w:rsidR="00FF5E4C" w:rsidRDefault="00FF5E4C" w:rsidP="006275AC">
      <w:pPr>
        <w:pStyle w:val="NoSpacing"/>
        <w:jc w:val="both"/>
        <w:rPr>
          <w:rFonts w:cs="Calibri"/>
          <w:b/>
          <w:bCs/>
          <w:sz w:val="20"/>
          <w:szCs w:val="20"/>
          <w:u w:val="single"/>
        </w:rPr>
      </w:pPr>
    </w:p>
    <w:p w:rsidR="00FF5E4C" w:rsidRDefault="00FF5E4C" w:rsidP="006275AC">
      <w:pPr>
        <w:pStyle w:val="NoSpacing"/>
        <w:jc w:val="both"/>
        <w:rPr>
          <w:rFonts w:cs="Calibri"/>
          <w:b/>
          <w:bCs/>
          <w:sz w:val="20"/>
          <w:szCs w:val="20"/>
          <w:u w:val="single"/>
        </w:rPr>
      </w:pPr>
    </w:p>
    <w:p w:rsidR="00FF5E4C" w:rsidRDefault="00FF5E4C" w:rsidP="006275AC">
      <w:pPr>
        <w:pStyle w:val="NoSpacing"/>
        <w:jc w:val="both"/>
        <w:rPr>
          <w:rFonts w:cs="Calibri"/>
          <w:b/>
          <w:bCs/>
          <w:sz w:val="20"/>
          <w:szCs w:val="20"/>
          <w:u w:val="single"/>
        </w:rPr>
      </w:pPr>
    </w:p>
    <w:p w:rsidR="00FF5E4C" w:rsidRPr="008A6A8B" w:rsidRDefault="00FF5E4C" w:rsidP="006275AC">
      <w:pPr>
        <w:pStyle w:val="NoSpacing"/>
        <w:jc w:val="both"/>
        <w:rPr>
          <w:rFonts w:cs="Calibri"/>
          <w:b/>
          <w:bCs/>
          <w:sz w:val="20"/>
          <w:szCs w:val="20"/>
          <w:u w:val="single"/>
        </w:rPr>
      </w:pPr>
      <w:r w:rsidRPr="008A6A8B">
        <w:rPr>
          <w:rFonts w:cs="Calibri"/>
          <w:b/>
          <w:bCs/>
          <w:sz w:val="20"/>
          <w:szCs w:val="20"/>
          <w:u w:val="single"/>
        </w:rPr>
        <w:t xml:space="preserve">RETI Phase 2 Update Workgroup Black &amp; Veatch: </w:t>
      </w:r>
    </w:p>
    <w:p w:rsidR="00FF5E4C" w:rsidRDefault="00FF5E4C" w:rsidP="006275AC">
      <w:pPr>
        <w:pStyle w:val="NoSpacing"/>
        <w:jc w:val="both"/>
        <w:rPr>
          <w:rFonts w:cs="Calibri"/>
          <w:b/>
          <w:bCs/>
          <w:sz w:val="20"/>
          <w:szCs w:val="20"/>
          <w:u w:val="single"/>
        </w:rPr>
      </w:pPr>
    </w:p>
    <w:p w:rsidR="00FF5E4C" w:rsidRPr="008A6A8B" w:rsidRDefault="00FF5E4C" w:rsidP="006275AC">
      <w:pPr>
        <w:pStyle w:val="NoSpacing"/>
        <w:jc w:val="both"/>
        <w:rPr>
          <w:rFonts w:cs="Calibri"/>
          <w:b/>
          <w:bCs/>
          <w:sz w:val="20"/>
          <w:szCs w:val="20"/>
          <w:u w:val="single"/>
        </w:rPr>
      </w:pPr>
      <w:r w:rsidRPr="008A6A8B">
        <w:rPr>
          <w:rFonts w:cs="Calibri"/>
          <w:b/>
          <w:bCs/>
          <w:sz w:val="20"/>
          <w:szCs w:val="20"/>
          <w:u w:val="single"/>
        </w:rPr>
        <w:t>Ryan Pletka; February 26, 2010</w:t>
      </w:r>
    </w:p>
    <w:p w:rsidR="00FF5E4C" w:rsidRDefault="00FF5E4C" w:rsidP="006275AC">
      <w:pPr>
        <w:pStyle w:val="NoSpacing"/>
        <w:jc w:val="both"/>
        <w:rPr>
          <w:rFonts w:cs="Calibri"/>
          <w:b/>
          <w:bCs/>
          <w:sz w:val="20"/>
          <w:szCs w:val="20"/>
        </w:rPr>
      </w:pPr>
    </w:p>
    <w:p w:rsidR="00FF5E4C" w:rsidRDefault="00FF5E4C" w:rsidP="006275AC">
      <w:pPr>
        <w:pStyle w:val="NoSpacing"/>
        <w:jc w:val="both"/>
        <w:rPr>
          <w:rFonts w:cs="Calibri"/>
          <w:b/>
          <w:bCs/>
          <w:sz w:val="20"/>
          <w:szCs w:val="20"/>
        </w:rPr>
      </w:pPr>
      <w:r w:rsidRPr="008A6A8B">
        <w:rPr>
          <w:rFonts w:cs="Calibri"/>
          <w:b/>
          <w:bCs/>
          <w:sz w:val="20"/>
          <w:szCs w:val="20"/>
        </w:rPr>
        <w:t xml:space="preserve">Source: </w:t>
      </w:r>
    </w:p>
    <w:p w:rsidR="00FF5E4C" w:rsidRPr="008A6A8B" w:rsidRDefault="00FF5E4C" w:rsidP="006275AC">
      <w:pPr>
        <w:pStyle w:val="NoSpacing"/>
        <w:jc w:val="both"/>
        <w:rPr>
          <w:rFonts w:cs="Calibri"/>
          <w:bCs/>
          <w:sz w:val="20"/>
          <w:szCs w:val="20"/>
        </w:rPr>
      </w:pPr>
      <w:hyperlink r:id="rId15" w:history="1">
        <w:r w:rsidRPr="00391ECF">
          <w:rPr>
            <w:rStyle w:val="Hyperlink"/>
            <w:rFonts w:cs="Calibri"/>
            <w:bCs/>
            <w:sz w:val="20"/>
            <w:szCs w:val="20"/>
          </w:rPr>
          <w:t>http://www.energy.ca.gov/reti/steering/2010-02-26_meeting/documents/2010-02-26_Pletka_RETI_Phase_2A_Update_SSC_Presentation.pdf</w:t>
        </w:r>
      </w:hyperlink>
      <w:r>
        <w:rPr>
          <w:rFonts w:cs="Calibri"/>
          <w:bCs/>
          <w:sz w:val="20"/>
          <w:szCs w:val="20"/>
        </w:rPr>
        <w:t xml:space="preserve"> </w:t>
      </w:r>
    </w:p>
    <w:p w:rsidR="00FF5E4C" w:rsidRDefault="00FF5E4C" w:rsidP="006275AC">
      <w:pPr>
        <w:pStyle w:val="NoSpacing"/>
        <w:jc w:val="both"/>
        <w:rPr>
          <w:rFonts w:cs="Calibri"/>
          <w:sz w:val="20"/>
          <w:szCs w:val="20"/>
        </w:rPr>
      </w:pPr>
    </w:p>
    <w:p w:rsidR="00FF5E4C" w:rsidRDefault="00FF5E4C" w:rsidP="006275AC">
      <w:pPr>
        <w:pStyle w:val="NoSpacing"/>
        <w:jc w:val="both"/>
        <w:rPr>
          <w:rFonts w:cs="Calibri"/>
          <w:sz w:val="20"/>
          <w:szCs w:val="20"/>
        </w:rPr>
      </w:pPr>
      <w:r w:rsidRPr="008A6A8B">
        <w:rPr>
          <w:rFonts w:cs="Calibri"/>
          <w:sz w:val="20"/>
          <w:szCs w:val="20"/>
        </w:rPr>
        <w:t>The Black &amp; Veatch combines the Western Renewable Energy Zones (WREZ) framework with the California Renewable Energy Zones (CREZ) framework to address California’s plan to meet a 33% by 2020 RPS.  Black &amp; Veatch used the WREZ model for some renewable resource potentials, capacities and distances, but characterized the resources the same way as the resources in the CREZ model so that in-state and out-of-state resources on a comparable basis.  Additionally, Black &amp; Veatch made improvements to the CREZ model including:</w:t>
      </w:r>
    </w:p>
    <w:p w:rsidR="00FF5E4C" w:rsidRPr="008A6A8B" w:rsidRDefault="00FF5E4C" w:rsidP="006275AC">
      <w:pPr>
        <w:pStyle w:val="NoSpacing"/>
        <w:jc w:val="both"/>
        <w:rPr>
          <w:rFonts w:cs="Calibri"/>
          <w:sz w:val="20"/>
          <w:szCs w:val="20"/>
        </w:rPr>
      </w:pPr>
    </w:p>
    <w:p w:rsidR="00FF5E4C" w:rsidRPr="008A6A8B" w:rsidRDefault="00FF5E4C" w:rsidP="006275AC">
      <w:pPr>
        <w:pStyle w:val="NoSpacing"/>
        <w:numPr>
          <w:ilvl w:val="0"/>
          <w:numId w:val="15"/>
        </w:numPr>
        <w:jc w:val="both"/>
        <w:rPr>
          <w:rFonts w:cs="Calibri"/>
          <w:sz w:val="20"/>
          <w:szCs w:val="20"/>
        </w:rPr>
      </w:pPr>
      <w:r w:rsidRPr="008A6A8B">
        <w:rPr>
          <w:rFonts w:cs="Calibri"/>
          <w:sz w:val="20"/>
          <w:szCs w:val="20"/>
        </w:rPr>
        <w:t>Adjusted out-of-state transmission financing assumptions</w:t>
      </w:r>
    </w:p>
    <w:p w:rsidR="00FF5E4C" w:rsidRPr="008A6A8B" w:rsidRDefault="00FF5E4C" w:rsidP="006275AC">
      <w:pPr>
        <w:pStyle w:val="NoSpacing"/>
        <w:numPr>
          <w:ilvl w:val="0"/>
          <w:numId w:val="15"/>
        </w:numPr>
        <w:jc w:val="both"/>
        <w:rPr>
          <w:rFonts w:cs="Calibri"/>
          <w:sz w:val="20"/>
          <w:szCs w:val="20"/>
        </w:rPr>
      </w:pPr>
      <w:r w:rsidRPr="008A6A8B">
        <w:rPr>
          <w:rFonts w:cs="Calibri"/>
          <w:sz w:val="20"/>
          <w:szCs w:val="20"/>
        </w:rPr>
        <w:t>Verified Mexican / Canadian Incentive Treatment</w:t>
      </w:r>
    </w:p>
    <w:p w:rsidR="00FF5E4C" w:rsidRPr="008A6A8B" w:rsidRDefault="00FF5E4C" w:rsidP="006275AC">
      <w:pPr>
        <w:pStyle w:val="NoSpacing"/>
        <w:numPr>
          <w:ilvl w:val="0"/>
          <w:numId w:val="15"/>
        </w:numPr>
        <w:jc w:val="both"/>
        <w:rPr>
          <w:rFonts w:cs="Calibri"/>
          <w:sz w:val="20"/>
          <w:szCs w:val="20"/>
        </w:rPr>
      </w:pPr>
      <w:r w:rsidRPr="008A6A8B">
        <w:rPr>
          <w:rFonts w:cs="Calibri"/>
          <w:sz w:val="20"/>
          <w:szCs w:val="20"/>
        </w:rPr>
        <w:t>Added more in-state California resources</w:t>
      </w:r>
    </w:p>
    <w:p w:rsidR="00FF5E4C" w:rsidRPr="008A6A8B" w:rsidRDefault="00FF5E4C" w:rsidP="006275AC">
      <w:pPr>
        <w:pStyle w:val="NoSpacing"/>
        <w:numPr>
          <w:ilvl w:val="0"/>
          <w:numId w:val="15"/>
        </w:numPr>
        <w:jc w:val="both"/>
        <w:rPr>
          <w:rFonts w:cs="Calibri"/>
          <w:sz w:val="20"/>
          <w:szCs w:val="20"/>
        </w:rPr>
      </w:pPr>
      <w:r w:rsidRPr="008A6A8B">
        <w:rPr>
          <w:rFonts w:cs="Calibri"/>
          <w:sz w:val="20"/>
          <w:szCs w:val="20"/>
        </w:rPr>
        <w:t>Included in-state transmission adder and overall transmission losses</w:t>
      </w:r>
    </w:p>
    <w:p w:rsidR="00FF5E4C" w:rsidRDefault="00FF5E4C" w:rsidP="00C24C58">
      <w:pPr>
        <w:spacing w:after="0" w:line="240" w:lineRule="auto"/>
        <w:rPr>
          <w:rFonts w:cs="Calibri"/>
          <w:color w:val="000000"/>
          <w:sz w:val="20"/>
          <w:szCs w:val="20"/>
        </w:rPr>
      </w:pPr>
    </w:p>
    <w:p w:rsidR="00FF5E4C" w:rsidRDefault="00FF5E4C" w:rsidP="00C24C58">
      <w:pPr>
        <w:spacing w:after="0" w:line="240" w:lineRule="auto"/>
        <w:rPr>
          <w:rFonts w:cs="Calibri"/>
          <w:color w:val="000000"/>
          <w:sz w:val="20"/>
          <w:szCs w:val="20"/>
        </w:rPr>
      </w:pPr>
      <w:r w:rsidRPr="008A6A8B">
        <w:rPr>
          <w:rFonts w:cs="Calibri"/>
          <w:color w:val="000000"/>
          <w:sz w:val="20"/>
          <w:szCs w:val="20"/>
        </w:rPr>
        <w:t>The following tables rank renewable resource costs by region, weighted by technology type potential.</w:t>
      </w:r>
    </w:p>
    <w:p w:rsidR="00FF5E4C" w:rsidRDefault="00FF5E4C" w:rsidP="00C24C58">
      <w:pPr>
        <w:spacing w:after="0" w:line="240" w:lineRule="auto"/>
        <w:rPr>
          <w:rFonts w:cs="Calibri"/>
          <w:color w:val="000000"/>
          <w:sz w:val="20"/>
          <w:szCs w:val="20"/>
        </w:rPr>
      </w:pPr>
    </w:p>
    <w:p w:rsidR="00FF5E4C" w:rsidRPr="008A6A8B" w:rsidRDefault="00FF5E4C" w:rsidP="00C24C58">
      <w:pPr>
        <w:spacing w:after="0" w:line="240" w:lineRule="auto"/>
        <w:rPr>
          <w:rFonts w:cs="Calibri"/>
          <w:color w:val="000000"/>
          <w:sz w:val="20"/>
          <w:szCs w:val="20"/>
        </w:rPr>
      </w:pPr>
      <w:r w:rsidRPr="008A6A8B">
        <w:rPr>
          <w:rFonts w:cs="Calibri"/>
          <w:color w:val="000000"/>
          <w:sz w:val="20"/>
          <w:szCs w:val="20"/>
        </w:rPr>
        <w:t xml:space="preserve"> </w:t>
      </w:r>
      <w:r w:rsidRPr="0007596D">
        <w:rPr>
          <w:rFonts w:cs="Calibri"/>
          <w:noProof/>
          <w:color w:val="000000"/>
          <w:sz w:val="20"/>
          <w:szCs w:val="20"/>
        </w:rPr>
        <w:pict>
          <v:shape id="Picture 27" o:spid="_x0000_i1029" type="#_x0000_t75" style="width:171pt;height:361.5pt;visibility:visible">
            <v:imagedata r:id="rId16" o:title=""/>
          </v:shape>
        </w:pict>
      </w:r>
      <w:r w:rsidRPr="0007596D">
        <w:rPr>
          <w:rFonts w:cs="Calibri"/>
          <w:noProof/>
          <w:color w:val="000000"/>
          <w:sz w:val="20"/>
          <w:szCs w:val="20"/>
        </w:rPr>
        <w:pict>
          <v:shape id="Picture 28" o:spid="_x0000_i1030" type="#_x0000_t75" style="width:165.75pt;height:5in;visibility:visible">
            <v:imagedata r:id="rId17" o:title=""/>
          </v:shape>
        </w:pict>
      </w:r>
    </w:p>
    <w:p w:rsidR="00FF5E4C" w:rsidRDefault="00FF5E4C" w:rsidP="008A6A8B">
      <w:pPr>
        <w:pStyle w:val="NoSpacing"/>
        <w:rPr>
          <w:sz w:val="20"/>
          <w:szCs w:val="20"/>
        </w:rPr>
      </w:pPr>
    </w:p>
    <w:p w:rsidR="00FF5E4C" w:rsidRPr="006578B4" w:rsidRDefault="00FF5E4C" w:rsidP="008A6A8B">
      <w:pPr>
        <w:pStyle w:val="NoSpacing"/>
        <w:rPr>
          <w:sz w:val="20"/>
          <w:szCs w:val="20"/>
        </w:rPr>
      </w:pPr>
      <w:r w:rsidRPr="006578B4">
        <w:rPr>
          <w:sz w:val="20"/>
          <w:szCs w:val="20"/>
        </w:rPr>
        <w:t>In-state wind resources are shown to be the most cost-effective; however, there is significantly more solar potential than wind potential in California.</w:t>
      </w:r>
    </w:p>
    <w:p w:rsidR="00FF5E4C" w:rsidRPr="008A6A8B" w:rsidRDefault="00FF5E4C" w:rsidP="003D2A55">
      <w:pPr>
        <w:spacing w:before="100" w:beforeAutospacing="1" w:after="100" w:afterAutospacing="1"/>
        <w:rPr>
          <w:rFonts w:cs="Calibri"/>
          <w:color w:val="000000"/>
          <w:sz w:val="20"/>
          <w:szCs w:val="20"/>
        </w:rPr>
      </w:pPr>
      <w:r w:rsidRPr="0007596D">
        <w:rPr>
          <w:rFonts w:cs="Calibri"/>
          <w:noProof/>
          <w:color w:val="000000"/>
          <w:sz w:val="20"/>
          <w:szCs w:val="20"/>
        </w:rPr>
        <w:pict>
          <v:shape id="Picture 29" o:spid="_x0000_i1031" type="#_x0000_t75" style="width:329.25pt;height:241.5pt;visibility:visible">
            <v:imagedata r:id="rId18" o:title=""/>
          </v:shape>
        </w:pict>
      </w:r>
    </w:p>
    <w:p w:rsidR="00FF5E4C" w:rsidRPr="008A6A8B" w:rsidRDefault="00FF5E4C" w:rsidP="003D2A55">
      <w:pPr>
        <w:spacing w:before="100" w:beforeAutospacing="1" w:after="100" w:afterAutospacing="1"/>
        <w:rPr>
          <w:rFonts w:cs="Calibri"/>
          <w:color w:val="000000"/>
          <w:sz w:val="20"/>
          <w:szCs w:val="20"/>
        </w:rPr>
      </w:pPr>
      <w:r w:rsidRPr="008A6A8B">
        <w:rPr>
          <w:rFonts w:cs="Calibri"/>
          <w:color w:val="000000"/>
          <w:sz w:val="20"/>
          <w:szCs w:val="20"/>
        </w:rPr>
        <w:t>As of 2/4/2010, out-of-state solar appears to be a more cost –effective option.</w:t>
      </w:r>
    </w:p>
    <w:p w:rsidR="00FF5E4C" w:rsidRPr="008A6A8B" w:rsidRDefault="00FF5E4C" w:rsidP="003D2A55">
      <w:pPr>
        <w:spacing w:before="100" w:beforeAutospacing="1" w:after="100" w:afterAutospacing="1"/>
        <w:rPr>
          <w:rFonts w:cs="Calibri"/>
          <w:color w:val="000000"/>
          <w:sz w:val="20"/>
          <w:szCs w:val="20"/>
        </w:rPr>
      </w:pPr>
      <w:r w:rsidRPr="0007596D">
        <w:rPr>
          <w:rFonts w:cs="Calibri"/>
          <w:noProof/>
          <w:color w:val="000000"/>
          <w:sz w:val="20"/>
          <w:szCs w:val="20"/>
        </w:rPr>
        <w:pict>
          <v:shape id="Picture 30" o:spid="_x0000_i1032" type="#_x0000_t75" style="width:329.25pt;height:249pt;visibility:visible">
            <v:imagedata r:id="rId19" o:title=""/>
          </v:shape>
        </w:pict>
      </w:r>
    </w:p>
    <w:p w:rsidR="00FF5E4C" w:rsidRPr="008A6A8B" w:rsidRDefault="00FF5E4C" w:rsidP="008A6A8B">
      <w:pPr>
        <w:pStyle w:val="NoSpacing"/>
      </w:pPr>
      <w:r w:rsidRPr="006578B4">
        <w:rPr>
          <w:sz w:val="20"/>
          <w:szCs w:val="20"/>
        </w:rPr>
        <w:t>However, after the 2/18/2010 update, wind trumps solar as a more cost-effective solution in the 33% California RPS scenario</w:t>
      </w:r>
      <w:r w:rsidRPr="008A6A8B">
        <w:t>.</w:t>
      </w:r>
    </w:p>
    <w:p w:rsidR="00FF5E4C" w:rsidRPr="008A6A8B" w:rsidRDefault="00FF5E4C" w:rsidP="00C41237">
      <w:pPr>
        <w:spacing w:before="100" w:beforeAutospacing="1" w:after="100" w:afterAutospacing="1"/>
        <w:rPr>
          <w:rFonts w:cs="Calibri"/>
          <w:color w:val="000000"/>
          <w:sz w:val="20"/>
          <w:szCs w:val="20"/>
        </w:rPr>
      </w:pPr>
      <w:r w:rsidRPr="0007596D">
        <w:rPr>
          <w:rFonts w:cs="Calibri"/>
          <w:noProof/>
          <w:color w:val="000000"/>
          <w:sz w:val="20"/>
          <w:szCs w:val="20"/>
        </w:rPr>
        <w:pict>
          <v:shape id="Picture 31" o:spid="_x0000_i1033" type="#_x0000_t75" style="width:329.25pt;height:243pt;visibility:visible">
            <v:imagedata r:id="rId20" o:title=""/>
          </v:shape>
        </w:pict>
      </w:r>
    </w:p>
    <w:p w:rsidR="00FF5E4C" w:rsidRDefault="00FF5E4C" w:rsidP="008A6A8B">
      <w:pPr>
        <w:pStyle w:val="NoSpacing"/>
        <w:rPr>
          <w:sz w:val="20"/>
          <w:szCs w:val="20"/>
        </w:rPr>
      </w:pPr>
    </w:p>
    <w:p w:rsidR="00FF5E4C" w:rsidRDefault="00FF5E4C" w:rsidP="008A6A8B">
      <w:pPr>
        <w:pStyle w:val="NoSpacing"/>
        <w:rPr>
          <w:sz w:val="20"/>
          <w:szCs w:val="20"/>
        </w:rPr>
      </w:pPr>
    </w:p>
    <w:p w:rsidR="00FF5E4C" w:rsidRDefault="00FF5E4C" w:rsidP="008A6A8B">
      <w:pPr>
        <w:pStyle w:val="NoSpacing"/>
        <w:rPr>
          <w:sz w:val="20"/>
          <w:szCs w:val="20"/>
        </w:rPr>
      </w:pPr>
      <w:r w:rsidRPr="006578B4">
        <w:rPr>
          <w:sz w:val="20"/>
          <w:szCs w:val="20"/>
        </w:rPr>
        <w:t>A comparison of in-state vs. out-of-state supply curves indicates that in-state resources are more cost-effective; however, the potential maxes out at about 160,000 GWh.</w:t>
      </w:r>
    </w:p>
    <w:p w:rsidR="00FF5E4C" w:rsidRPr="006578B4" w:rsidRDefault="00FF5E4C" w:rsidP="008A6A8B">
      <w:pPr>
        <w:pStyle w:val="NoSpacing"/>
        <w:rPr>
          <w:sz w:val="20"/>
          <w:szCs w:val="20"/>
        </w:rPr>
      </w:pPr>
    </w:p>
    <w:p w:rsidR="00FF5E4C" w:rsidRPr="008A6A8B" w:rsidRDefault="00FF5E4C" w:rsidP="008A6A8B">
      <w:pPr>
        <w:pStyle w:val="NoSpacing"/>
        <w:rPr>
          <w:rFonts w:cs="Calibri"/>
          <w:color w:val="000000"/>
          <w:sz w:val="20"/>
          <w:szCs w:val="20"/>
        </w:rPr>
      </w:pPr>
      <w:r w:rsidRPr="0007596D">
        <w:rPr>
          <w:rFonts w:cs="Calibri"/>
          <w:noProof/>
          <w:color w:val="000000"/>
          <w:sz w:val="20"/>
          <w:szCs w:val="20"/>
        </w:rPr>
        <w:pict>
          <v:shape id="Picture 32" o:spid="_x0000_i1034" type="#_x0000_t75" style="width:331.5pt;height:249pt;visibility:visible">
            <v:imagedata r:id="rId21" o:title=""/>
          </v:shape>
        </w:pict>
      </w:r>
    </w:p>
    <w:p w:rsidR="00FF5E4C" w:rsidRPr="008A6A8B" w:rsidRDefault="00FF5E4C" w:rsidP="008A6A8B">
      <w:pPr>
        <w:pStyle w:val="Heading2"/>
        <w:rPr>
          <w:rFonts w:ascii="Calibri" w:hAnsi="Calibri" w:cs="Calibri"/>
          <w:color w:val="000000"/>
          <w:sz w:val="20"/>
          <w:szCs w:val="20"/>
        </w:rPr>
      </w:pPr>
      <w:r>
        <w:rPr>
          <w:rFonts w:ascii="Calibri" w:hAnsi="Calibri" w:cs="Calibri"/>
          <w:color w:val="000000"/>
          <w:sz w:val="20"/>
          <w:szCs w:val="20"/>
        </w:rPr>
        <w:br w:type="page"/>
      </w:r>
      <w:bookmarkStart w:id="7" w:name="_Toc260752698"/>
      <w:r w:rsidRPr="008A6A8B">
        <w:rPr>
          <w:rFonts w:ascii="Calibri" w:hAnsi="Calibri" w:cs="Calibri"/>
          <w:color w:val="000000"/>
          <w:sz w:val="20"/>
          <w:szCs w:val="20"/>
        </w:rPr>
        <w:t>Statistical Modeling of NREL Wind Profiles</w:t>
      </w:r>
      <w:bookmarkEnd w:id="7"/>
    </w:p>
    <w:p w:rsidR="00FF5E4C" w:rsidRPr="009F3361" w:rsidRDefault="00FF5E4C" w:rsidP="00062E8E">
      <w:pPr>
        <w:pStyle w:val="NoSpacing"/>
        <w:rPr>
          <w:rFonts w:cs="Calibri"/>
          <w:color w:val="000000"/>
        </w:rPr>
      </w:pPr>
    </w:p>
    <w:p w:rsidR="00FF5E4C" w:rsidRPr="00DE737F" w:rsidRDefault="00FF5E4C" w:rsidP="005C1756">
      <w:pPr>
        <w:pStyle w:val="NoSpacing"/>
        <w:jc w:val="both"/>
        <w:rPr>
          <w:rFonts w:cs="Calibri"/>
          <w:color w:val="000000"/>
          <w:sz w:val="20"/>
          <w:szCs w:val="20"/>
        </w:rPr>
      </w:pPr>
      <w:r w:rsidRPr="00DE737F">
        <w:rPr>
          <w:rFonts w:cs="Calibri"/>
          <w:color w:val="000000"/>
          <w:sz w:val="20"/>
          <w:szCs w:val="20"/>
        </w:rPr>
        <w:t xml:space="preserve">ColumbiaGrid staff performed an analysis to compare the diversity benefits of developing local wind resources in Oregon and Washington or more remote resources, particularly in Montana and Wyoming.  NREL/3TIER wind power profiles were time correlated data for 2004, 2005, and 2006. Although the data were not validated, it was of higher quality than prior CDEAC and SSGWI data. Wind speeds were modeled for 10 minute intervals on a 2km grid assuming 10 Vestas 3 MW turbines on over 32,000 western sites. These sites were combined into 28 wind zones of which 18 were in the Northwest (4 in Washington, 5 in Oregon, 1 in Idaho, 4 in Montana, and 4 in Wyoming). No data was available for Canada. Wind profiles for Tehachapi in southern California and for eastern New Mexico were also included for comparison. </w:t>
      </w:r>
    </w:p>
    <w:p w:rsidR="00FF5E4C" w:rsidRPr="00DE737F" w:rsidRDefault="00FF5E4C" w:rsidP="005C1756">
      <w:pPr>
        <w:pStyle w:val="NoSpacing"/>
        <w:ind w:firstLine="720"/>
        <w:jc w:val="both"/>
        <w:rPr>
          <w:rFonts w:cs="Calibri"/>
          <w:color w:val="000000"/>
          <w:sz w:val="20"/>
          <w:szCs w:val="20"/>
        </w:rPr>
      </w:pPr>
    </w:p>
    <w:p w:rsidR="00FF5E4C" w:rsidRPr="00DE737F" w:rsidRDefault="00FF5E4C" w:rsidP="005C1756">
      <w:pPr>
        <w:pStyle w:val="NoSpacing"/>
        <w:jc w:val="both"/>
        <w:rPr>
          <w:rFonts w:cs="Calibri"/>
          <w:color w:val="000000"/>
          <w:sz w:val="20"/>
          <w:szCs w:val="20"/>
        </w:rPr>
      </w:pPr>
      <w:r w:rsidRPr="00DE737F">
        <w:rPr>
          <w:rFonts w:cs="Calibri"/>
          <w:color w:val="000000"/>
          <w:sz w:val="20"/>
          <w:szCs w:val="20"/>
        </w:rPr>
        <w:t xml:space="preserve">The TEPPC zones were further reduced by combining zones with similar geography and wind characteristics, proportioned by the development potential listed in the NREL data.  This resulted in three zones in Oregon and Washington (Gorge, Snake, and south central Oregon), two in Montana (central and NE), two in Wyoming (central and SW), and one each at Tehachapi and eastern New Mexico (some of the smaller NREL/3TIER zones were removed for this analysis).  The following analysis was based on this reduces set of zones. </w:t>
      </w:r>
    </w:p>
    <w:p w:rsidR="00FF5E4C" w:rsidRPr="00DE737F" w:rsidRDefault="00FF5E4C" w:rsidP="005C1756">
      <w:pPr>
        <w:pStyle w:val="NoSpacing"/>
        <w:jc w:val="both"/>
        <w:rPr>
          <w:rFonts w:cs="Calibri"/>
          <w:color w:val="000000"/>
          <w:sz w:val="20"/>
          <w:szCs w:val="20"/>
        </w:rPr>
      </w:pPr>
    </w:p>
    <w:p w:rsidR="00FF5E4C" w:rsidRPr="00DE737F" w:rsidRDefault="00FF5E4C" w:rsidP="005C1756">
      <w:pPr>
        <w:pStyle w:val="NoSpacing"/>
        <w:jc w:val="both"/>
        <w:rPr>
          <w:rFonts w:cs="Calibri"/>
          <w:color w:val="000000"/>
          <w:sz w:val="20"/>
          <w:szCs w:val="20"/>
        </w:rPr>
      </w:pPr>
      <w:r w:rsidRPr="00DE737F">
        <w:rPr>
          <w:rFonts w:cs="Calibri"/>
          <w:color w:val="000000"/>
          <w:sz w:val="20"/>
          <w:szCs w:val="20"/>
        </w:rPr>
        <w:t>The study then compared wind generation in these zones with actual Oregon/Washington loads during various timeframes of 2002.  The results of this analysis varied for the timeframes investigated but overall showed a better correlation between NW loads and central Montana, NE Montana or Central Wyoming wind than the Gorge or Snake area wind.  The south central Oregon wind and SW Wyoming wind had good correlation with NW load in the winter but not in the summer.</w:t>
      </w:r>
    </w:p>
    <w:p w:rsidR="00FF5E4C" w:rsidRPr="00DE737F" w:rsidRDefault="00FF5E4C" w:rsidP="005C1756">
      <w:pPr>
        <w:pStyle w:val="NoSpacing"/>
        <w:jc w:val="both"/>
        <w:rPr>
          <w:rFonts w:cs="Calibri"/>
          <w:color w:val="000000"/>
          <w:sz w:val="20"/>
          <w:szCs w:val="20"/>
        </w:rPr>
      </w:pPr>
    </w:p>
    <w:p w:rsidR="00FF5E4C" w:rsidRDefault="00FF5E4C" w:rsidP="00C24C58">
      <w:pPr>
        <w:spacing w:after="0" w:line="240" w:lineRule="auto"/>
        <w:rPr>
          <w:rFonts w:cs="Calibri"/>
          <w:b/>
          <w:color w:val="000000"/>
        </w:rPr>
      </w:pPr>
    </w:p>
    <w:p w:rsidR="00FF5E4C" w:rsidRDefault="00FF5E4C" w:rsidP="00C24C58">
      <w:pPr>
        <w:spacing w:after="0" w:line="240" w:lineRule="auto"/>
        <w:rPr>
          <w:rFonts w:cs="Calibri"/>
          <w:b/>
          <w:color w:val="000000"/>
        </w:rPr>
      </w:pPr>
    </w:p>
    <w:p w:rsidR="00FF5E4C" w:rsidRPr="009F3361" w:rsidRDefault="00FF5E4C" w:rsidP="00C24C58">
      <w:pPr>
        <w:spacing w:after="0" w:line="240" w:lineRule="auto"/>
        <w:rPr>
          <w:rFonts w:cs="Calibri"/>
          <w:b/>
          <w:color w:val="000000"/>
        </w:rPr>
      </w:pPr>
      <w:r>
        <w:rPr>
          <w:rFonts w:cs="Calibri"/>
          <w:b/>
          <w:color w:val="000000"/>
        </w:rPr>
        <w:br w:type="page"/>
        <w:t xml:space="preserve">Table B-1 and Map of </w:t>
      </w:r>
      <w:r w:rsidRPr="009F3361">
        <w:rPr>
          <w:rFonts w:cs="Calibri"/>
          <w:b/>
          <w:color w:val="000000"/>
        </w:rPr>
        <w:t>Northwest wind zones and capacity factor combinations.</w:t>
      </w:r>
    </w:p>
    <w:p w:rsidR="00FF5E4C" w:rsidRPr="009F3361" w:rsidRDefault="00FF5E4C" w:rsidP="00062E8E">
      <w:pPr>
        <w:pStyle w:val="NoSpacing"/>
        <w:rPr>
          <w:rFonts w:cs="Calibri"/>
          <w:color w:val="000000"/>
        </w:rPr>
      </w:pPr>
      <w:r w:rsidRPr="0007596D">
        <w:rPr>
          <w:rFonts w:cs="Calibri"/>
          <w:noProof/>
          <w:color w:val="000000"/>
        </w:rPr>
        <w:pict>
          <v:shape id="Picture 1" o:spid="_x0000_i1035" type="#_x0000_t75" style="width:335.25pt;height:410.25pt;visibility:visible">
            <v:imagedata r:id="rId22" o:title="" croptop="5246f" cropbottom="6355f" cropleft="4398f" cropright="9031f"/>
          </v:shape>
        </w:pict>
      </w:r>
    </w:p>
    <w:p w:rsidR="00FF5E4C" w:rsidRPr="00DE737F" w:rsidRDefault="00FF5E4C" w:rsidP="002A3DD4">
      <w:pPr>
        <w:pStyle w:val="NoSpacing"/>
        <w:jc w:val="both"/>
        <w:rPr>
          <w:rFonts w:cs="Calibri"/>
          <w:color w:val="000000"/>
          <w:sz w:val="20"/>
          <w:szCs w:val="20"/>
        </w:rPr>
      </w:pPr>
      <w:r w:rsidRPr="003F3B95">
        <w:rPr>
          <w:rFonts w:cs="Calibri"/>
          <w:color w:val="000000"/>
          <w:sz w:val="20"/>
          <w:szCs w:val="20"/>
        </w:rPr>
        <w:t>Ten-minute tail ramp rates for combined zones were also analyzed.  The south central Oregon zone had the largest ramp changes while SE Wyoming had the lowest. Combining the Columbia Gorge zone with the Central Montana zone resulted in a marked improvement over the individual zones, showing the diversity benefit in reducing ramps.  The combined zones usually showed reductions in the maximum ramps that would occur in the individual zones.  The following table shows the maximum ramp rates in both the positive and negative direction for each zone combination.  In each combination, the top two numbers are the maximum ramps for the first zone listed, the middle two numbers are the second zone listed and the bottom two numbers are the combination of the two zones.</w:t>
      </w:r>
      <w:r>
        <w:rPr>
          <w:rFonts w:cs="Calibri"/>
          <w:color w:val="000000"/>
          <w:sz w:val="20"/>
          <w:szCs w:val="20"/>
        </w:rPr>
        <w:t xml:space="preserve">  </w:t>
      </w:r>
      <w:r w:rsidRPr="003F3B95">
        <w:rPr>
          <w:rFonts w:cs="Calibri"/>
          <w:color w:val="000000"/>
          <w:sz w:val="20"/>
          <w:szCs w:val="20"/>
        </w:rPr>
        <w:t>Smaller ramps could reduce the standby resources required to mitigate the rapid changes in generation for the individual zones</w:t>
      </w:r>
      <w:r>
        <w:rPr>
          <w:rFonts w:cs="Calibri"/>
          <w:color w:val="000000"/>
          <w:sz w:val="20"/>
          <w:szCs w:val="20"/>
        </w:rPr>
        <w:t xml:space="preserve"> but t</w:t>
      </w:r>
      <w:r w:rsidRPr="0038393A">
        <w:rPr>
          <w:sz w:val="20"/>
          <w:szCs w:val="20"/>
        </w:rPr>
        <w:t>his study did not analyze the transmission requirements or the changes in operations or dynamic transfers that would be required to capture the</w:t>
      </w:r>
      <w:r>
        <w:rPr>
          <w:sz w:val="20"/>
          <w:szCs w:val="20"/>
        </w:rPr>
        <w:t>se</w:t>
      </w:r>
      <w:r w:rsidRPr="0038393A">
        <w:rPr>
          <w:sz w:val="20"/>
          <w:szCs w:val="20"/>
        </w:rPr>
        <w:t xml:space="preserve"> benefits in one (virtual or consolidated) BA.</w:t>
      </w:r>
      <w:r w:rsidRPr="003F3B95">
        <w:rPr>
          <w:rFonts w:cs="Calibri"/>
          <w:color w:val="000000"/>
          <w:sz w:val="20"/>
          <w:szCs w:val="20"/>
        </w:rPr>
        <w:t xml:space="preserve">  </w:t>
      </w:r>
    </w:p>
    <w:p w:rsidR="00FF5E4C" w:rsidRDefault="00FF5E4C" w:rsidP="002A3DD4">
      <w:pPr>
        <w:pStyle w:val="NoSpacing"/>
        <w:rPr>
          <w:rFonts w:cs="Calibri"/>
          <w:b/>
          <w:color w:val="000000"/>
        </w:rPr>
      </w:pPr>
    </w:p>
    <w:p w:rsidR="00FF5E4C" w:rsidRDefault="00FF5E4C" w:rsidP="002A3DD4">
      <w:pPr>
        <w:pStyle w:val="NoSpacing"/>
        <w:rPr>
          <w:rFonts w:cs="Calibri"/>
          <w:b/>
          <w:color w:val="000000"/>
        </w:rPr>
      </w:pPr>
      <w:r>
        <w:rPr>
          <w:rFonts w:cs="Calibri"/>
          <w:b/>
          <w:color w:val="000000"/>
        </w:rPr>
        <w:br w:type="page"/>
      </w:r>
    </w:p>
    <w:p w:rsidR="00FF5E4C" w:rsidRPr="009F3361" w:rsidRDefault="00FF5E4C" w:rsidP="002A3DD4">
      <w:pPr>
        <w:spacing w:after="0" w:line="240" w:lineRule="auto"/>
        <w:rPr>
          <w:rFonts w:cs="Calibri"/>
          <w:b/>
          <w:color w:val="000000"/>
        </w:rPr>
      </w:pPr>
      <w:r>
        <w:rPr>
          <w:rFonts w:cs="Calibri"/>
          <w:b/>
          <w:color w:val="000000"/>
        </w:rPr>
        <w:t>Table B-2:  Ramp rates for single and combined zones</w:t>
      </w:r>
    </w:p>
    <w:p w:rsidR="00FF5E4C" w:rsidRDefault="00FF5E4C" w:rsidP="002A3DD4">
      <w:pPr>
        <w:pStyle w:val="NoSpacing"/>
        <w:jc w:val="both"/>
        <w:rPr>
          <w:rFonts w:cs="Calibri"/>
          <w:b/>
          <w:color w:val="000000"/>
          <w:sz w:val="20"/>
          <w:szCs w:val="20"/>
          <w:u w:val="single"/>
        </w:rPr>
      </w:pPr>
    </w:p>
    <w:p w:rsidR="00FF5E4C" w:rsidRDefault="00FF5E4C" w:rsidP="002A3DD4">
      <w:pPr>
        <w:pStyle w:val="NoSpacing"/>
        <w:jc w:val="both"/>
        <w:rPr>
          <w:rFonts w:cs="Calibri"/>
          <w:b/>
          <w:color w:val="000000"/>
          <w:sz w:val="20"/>
          <w:szCs w:val="20"/>
          <w:u w:val="single"/>
        </w:rPr>
      </w:pPr>
      <w:r w:rsidRPr="00B21B7D">
        <w:rPr>
          <w:rFonts w:cs="Calibri"/>
          <w:b/>
          <w:color w:val="000000"/>
          <w:sz w:val="20"/>
          <w:szCs w:val="20"/>
          <w:u w:val="single"/>
        </w:rPr>
        <w:object w:dxaOrig="15652" w:dyaOrig="8570">
          <v:shape id="_x0000_i1036" type="#_x0000_t75" style="width:469.5pt;height:257.25pt" o:ole="">
            <v:imagedata r:id="rId23" o:title=""/>
          </v:shape>
          <o:OLEObject Type="Embed" ProgID="Excel.Sheet.12" ShapeID="_x0000_i1036" DrawAspect="Content" ObjectID="_1367902625" r:id="rId24"/>
        </w:object>
      </w:r>
    </w:p>
    <w:p w:rsidR="00FF5E4C" w:rsidRDefault="00FF5E4C" w:rsidP="002A3DD4">
      <w:pPr>
        <w:spacing w:after="0" w:line="240" w:lineRule="auto"/>
        <w:rPr>
          <w:rFonts w:cs="Calibri"/>
          <w:b/>
          <w:color w:val="000000"/>
        </w:rPr>
      </w:pPr>
    </w:p>
    <w:p w:rsidR="00FF5E4C" w:rsidRPr="00DE737F" w:rsidRDefault="00FF5E4C" w:rsidP="00DE737F">
      <w:pPr>
        <w:pStyle w:val="NoSpacing"/>
        <w:jc w:val="both"/>
        <w:rPr>
          <w:rFonts w:cs="Calibri"/>
          <w:color w:val="000000"/>
          <w:sz w:val="20"/>
          <w:szCs w:val="20"/>
        </w:rPr>
      </w:pPr>
      <w:r w:rsidRPr="00DE737F">
        <w:rPr>
          <w:rFonts w:cs="Calibri"/>
          <w:color w:val="000000"/>
          <w:sz w:val="20"/>
          <w:szCs w:val="20"/>
        </w:rPr>
        <w:t>The capacity credit for these zones was also calculated (capacity credit is the portion of the total generation that is available for a selected amount of time).   Capacity credits of 95% and 90% were calculated for each of the nine zones along with all the combinations of combined zones.  The SE Wyoming bubble had the highest capacity credit of 2 MW, i</w:t>
      </w:r>
      <w:r>
        <w:rPr>
          <w:rFonts w:cs="Calibri"/>
          <w:color w:val="000000"/>
          <w:sz w:val="20"/>
          <w:szCs w:val="20"/>
        </w:rPr>
        <w:t>.</w:t>
      </w:r>
      <w:r w:rsidRPr="00DE737F">
        <w:rPr>
          <w:rFonts w:cs="Calibri"/>
          <w:color w:val="000000"/>
          <w:sz w:val="20"/>
          <w:szCs w:val="20"/>
        </w:rPr>
        <w:t>e</w:t>
      </w:r>
      <w:r>
        <w:rPr>
          <w:rFonts w:cs="Calibri"/>
          <w:color w:val="000000"/>
          <w:sz w:val="20"/>
          <w:szCs w:val="20"/>
        </w:rPr>
        <w:t>.,</w:t>
      </w:r>
      <w:r w:rsidRPr="00DE737F">
        <w:rPr>
          <w:rFonts w:cs="Calibri"/>
          <w:color w:val="000000"/>
          <w:sz w:val="20"/>
          <w:szCs w:val="20"/>
        </w:rPr>
        <w:t xml:space="preserve"> 2 MW of the total 100 MW would be available 95% of the time.  If zones were combined, the highest capacity credit increased to 5 MW.  SW Wyoming had a 0% capacity credit by itself but increased to 3-5% when combined.  </w:t>
      </w:r>
    </w:p>
    <w:p w:rsidR="00FF5E4C" w:rsidRPr="00DE737F" w:rsidRDefault="00FF5E4C" w:rsidP="00DE737F">
      <w:pPr>
        <w:pStyle w:val="NoSpacing"/>
        <w:jc w:val="both"/>
        <w:rPr>
          <w:rFonts w:cs="Calibri"/>
          <w:color w:val="000000"/>
          <w:sz w:val="20"/>
          <w:szCs w:val="20"/>
        </w:rPr>
      </w:pPr>
    </w:p>
    <w:p w:rsidR="00FF5E4C" w:rsidRDefault="00FF5E4C" w:rsidP="00DE737F">
      <w:pPr>
        <w:pStyle w:val="NoSpacing"/>
        <w:jc w:val="both"/>
        <w:rPr>
          <w:rFonts w:cs="Calibri"/>
          <w:color w:val="000000"/>
          <w:sz w:val="20"/>
          <w:szCs w:val="20"/>
        </w:rPr>
      </w:pPr>
      <w:r w:rsidRPr="00DE737F">
        <w:rPr>
          <w:rFonts w:cs="Calibri"/>
          <w:color w:val="000000"/>
          <w:sz w:val="20"/>
          <w:szCs w:val="20"/>
        </w:rPr>
        <w:t>The capacity credit for individual zones for 90% of the time increased slightly to 2 MW maximum.  The maximum capacity credit increased to 9 MW for zone combinations.  Again, SW Wyoming had a 0% capacity credit by itself but increased to upwards of 9% when combined.  These are not huge increases, but they do show modest benefits.  The following two charts show the results for the 95% and 90% capacity credit analysis.</w:t>
      </w:r>
    </w:p>
    <w:p w:rsidR="00FF5E4C" w:rsidRPr="002A3DD4" w:rsidRDefault="00FF5E4C" w:rsidP="00C24C58">
      <w:pPr>
        <w:spacing w:after="0" w:line="240" w:lineRule="auto"/>
        <w:rPr>
          <w:rFonts w:cs="Calibri"/>
          <w:b/>
          <w:color w:val="000000"/>
        </w:rPr>
      </w:pPr>
      <w:r>
        <w:rPr>
          <w:rFonts w:cs="Calibri"/>
          <w:color w:val="000000"/>
          <w:sz w:val="20"/>
          <w:szCs w:val="20"/>
        </w:rPr>
        <w:br w:type="page"/>
      </w:r>
      <w:r w:rsidRPr="002A3DD4">
        <w:rPr>
          <w:rFonts w:cs="Calibri"/>
          <w:b/>
          <w:color w:val="000000"/>
        </w:rPr>
        <w:t xml:space="preserve">Table B-3: 95% Capacity Credit (number of MW out of 100 that are available 95% of the time): </w:t>
      </w:r>
    </w:p>
    <w:tbl>
      <w:tblPr>
        <w:tblW w:w="9998" w:type="dxa"/>
        <w:tblCellMar>
          <w:left w:w="0" w:type="dxa"/>
          <w:right w:w="0" w:type="dxa"/>
        </w:tblCellMar>
        <w:tblLook w:val="00A0"/>
      </w:tblPr>
      <w:tblGrid>
        <w:gridCol w:w="1268"/>
        <w:gridCol w:w="1080"/>
        <w:gridCol w:w="900"/>
        <w:gridCol w:w="810"/>
        <w:gridCol w:w="900"/>
        <w:gridCol w:w="900"/>
        <w:gridCol w:w="990"/>
        <w:gridCol w:w="990"/>
        <w:gridCol w:w="900"/>
        <w:gridCol w:w="1260"/>
      </w:tblGrid>
      <w:tr w:rsidR="00FF5E4C" w:rsidRPr="00DE737F" w:rsidTr="00466B35">
        <w:trPr>
          <w:trHeight w:val="503"/>
        </w:trPr>
        <w:tc>
          <w:tcPr>
            <w:tcW w:w="1268"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b/>
                <w:color w:val="000000"/>
                <w:sz w:val="18"/>
                <w:szCs w:val="18"/>
              </w:rPr>
            </w:pPr>
            <w:r w:rsidRPr="00DE737F">
              <w:rPr>
                <w:rFonts w:cs="Calibri"/>
                <w:b/>
                <w:color w:val="000000"/>
                <w:kern w:val="24"/>
                <w:sz w:val="18"/>
                <w:szCs w:val="18"/>
              </w:rPr>
              <w:t>Gorge</w:t>
            </w:r>
          </w:p>
        </w:tc>
        <w:tc>
          <w:tcPr>
            <w:tcW w:w="108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So Cent OR</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 xml:space="preserve">Snake </w:t>
            </w:r>
          </w:p>
        </w:tc>
        <w:tc>
          <w:tcPr>
            <w:tcW w:w="81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SW WY</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SE WY</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NE MT</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Central MT</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Tehachapi</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East NM</w:t>
            </w:r>
          </w:p>
        </w:tc>
        <w:tc>
          <w:tcPr>
            <w:tcW w:w="126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r>
      <w:tr w:rsidR="00FF5E4C" w:rsidRPr="00DE737F" w:rsidTr="00466B35">
        <w:trPr>
          <w:trHeight w:val="253"/>
        </w:trPr>
        <w:tc>
          <w:tcPr>
            <w:tcW w:w="1268" w:type="dxa"/>
            <w:tcBorders>
              <w:top w:val="nil"/>
              <w:left w:val="nil"/>
              <w:bottom w:val="nil"/>
              <w:right w:val="nil"/>
            </w:tcBorders>
            <w:shd w:val="clear" w:color="auto" w:fill="EEECE1"/>
            <w:tcMar>
              <w:top w:w="8" w:type="dxa"/>
              <w:left w:w="8" w:type="dxa"/>
              <w:bottom w:w="0" w:type="dxa"/>
              <w:right w:w="8" w:type="dxa"/>
            </w:tcMar>
            <w:vAlign w:val="bottom"/>
          </w:tcPr>
          <w:p w:rsidR="00FF5E4C" w:rsidRPr="00DE737F" w:rsidRDefault="00FF5E4C" w:rsidP="00062E8E">
            <w:pPr>
              <w:pStyle w:val="NoSpacing"/>
              <w:rPr>
                <w:rFonts w:cs="Calibri"/>
                <w:b/>
                <w:color w:val="000000"/>
                <w:sz w:val="18"/>
                <w:szCs w:val="18"/>
              </w:rPr>
            </w:pPr>
            <w:r w:rsidRPr="00DE737F">
              <w:rPr>
                <w:rFonts w:cs="Calibri"/>
                <w:b/>
                <w:color w:val="000000"/>
                <w:kern w:val="24"/>
                <w:sz w:val="18"/>
                <w:szCs w:val="18"/>
              </w:rPr>
              <w:t>0</w:t>
            </w:r>
          </w:p>
        </w:tc>
        <w:tc>
          <w:tcPr>
            <w:tcW w:w="108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0</w:t>
            </w:r>
          </w:p>
        </w:tc>
        <w:tc>
          <w:tcPr>
            <w:tcW w:w="81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3</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126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Gorge</w:t>
            </w:r>
          </w:p>
        </w:tc>
      </w:tr>
      <w:tr w:rsidR="00FF5E4C" w:rsidRPr="00DE737F" w:rsidTr="00466B35">
        <w:trPr>
          <w:trHeight w:val="262"/>
        </w:trPr>
        <w:tc>
          <w:tcPr>
            <w:tcW w:w="1268"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b/>
                <w:color w:val="000000"/>
                <w:sz w:val="18"/>
                <w:szCs w:val="18"/>
              </w:rPr>
            </w:pPr>
          </w:p>
        </w:tc>
        <w:tc>
          <w:tcPr>
            <w:tcW w:w="1080" w:type="dxa"/>
            <w:tcBorders>
              <w:top w:val="nil"/>
              <w:left w:val="nil"/>
              <w:bottom w:val="nil"/>
              <w:right w:val="nil"/>
            </w:tcBorders>
            <w:shd w:val="clear" w:color="auto" w:fill="EEECE1"/>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0</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0</w:t>
            </w:r>
          </w:p>
        </w:tc>
        <w:tc>
          <w:tcPr>
            <w:tcW w:w="81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3</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126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So Cent OR</w:t>
            </w:r>
          </w:p>
        </w:tc>
      </w:tr>
      <w:tr w:rsidR="00FF5E4C" w:rsidRPr="00DE737F" w:rsidTr="00466B35">
        <w:trPr>
          <w:trHeight w:val="262"/>
        </w:trPr>
        <w:tc>
          <w:tcPr>
            <w:tcW w:w="1268"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b/>
                <w:color w:val="000000"/>
                <w:sz w:val="18"/>
                <w:szCs w:val="18"/>
              </w:rPr>
            </w:pPr>
          </w:p>
        </w:tc>
        <w:tc>
          <w:tcPr>
            <w:tcW w:w="108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shd w:val="clear" w:color="auto" w:fill="EEECE1"/>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0</w:t>
            </w:r>
          </w:p>
        </w:tc>
        <w:tc>
          <w:tcPr>
            <w:tcW w:w="81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126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 xml:space="preserve">Snake </w:t>
            </w:r>
          </w:p>
        </w:tc>
      </w:tr>
      <w:tr w:rsidR="00FF5E4C" w:rsidRPr="00DE737F" w:rsidTr="00466B35">
        <w:trPr>
          <w:trHeight w:val="253"/>
        </w:trPr>
        <w:tc>
          <w:tcPr>
            <w:tcW w:w="1268"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b/>
                <w:color w:val="000000"/>
                <w:sz w:val="18"/>
                <w:szCs w:val="18"/>
              </w:rPr>
            </w:pPr>
          </w:p>
        </w:tc>
        <w:tc>
          <w:tcPr>
            <w:tcW w:w="108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810" w:type="dxa"/>
            <w:tcBorders>
              <w:top w:val="nil"/>
              <w:left w:val="nil"/>
              <w:bottom w:val="nil"/>
              <w:right w:val="nil"/>
            </w:tcBorders>
            <w:shd w:val="clear" w:color="auto" w:fill="EEECE1"/>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0</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3</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4</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4</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5</w:t>
            </w:r>
          </w:p>
        </w:tc>
        <w:tc>
          <w:tcPr>
            <w:tcW w:w="126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SW WY</w:t>
            </w:r>
          </w:p>
        </w:tc>
      </w:tr>
      <w:tr w:rsidR="00FF5E4C" w:rsidRPr="00DE737F" w:rsidTr="00466B35">
        <w:trPr>
          <w:trHeight w:val="253"/>
        </w:trPr>
        <w:tc>
          <w:tcPr>
            <w:tcW w:w="1268"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b/>
                <w:color w:val="000000"/>
                <w:sz w:val="18"/>
                <w:szCs w:val="18"/>
              </w:rPr>
            </w:pPr>
          </w:p>
        </w:tc>
        <w:tc>
          <w:tcPr>
            <w:tcW w:w="108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81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shd w:val="clear" w:color="auto" w:fill="EEECE1"/>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126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SE WY</w:t>
            </w:r>
          </w:p>
        </w:tc>
      </w:tr>
      <w:tr w:rsidR="00FF5E4C" w:rsidRPr="00DE737F" w:rsidTr="00466B35">
        <w:trPr>
          <w:trHeight w:val="244"/>
        </w:trPr>
        <w:tc>
          <w:tcPr>
            <w:tcW w:w="1268"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b/>
                <w:color w:val="000000"/>
                <w:sz w:val="18"/>
                <w:szCs w:val="18"/>
              </w:rPr>
            </w:pPr>
          </w:p>
        </w:tc>
        <w:tc>
          <w:tcPr>
            <w:tcW w:w="108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81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shd w:val="clear" w:color="auto" w:fill="EEECE1"/>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0</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2</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3</w:t>
            </w:r>
          </w:p>
        </w:tc>
        <w:tc>
          <w:tcPr>
            <w:tcW w:w="126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NE MT</w:t>
            </w:r>
          </w:p>
        </w:tc>
      </w:tr>
      <w:tr w:rsidR="00FF5E4C" w:rsidRPr="00DE737F" w:rsidTr="00466B35">
        <w:trPr>
          <w:trHeight w:val="325"/>
        </w:trPr>
        <w:tc>
          <w:tcPr>
            <w:tcW w:w="1268"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b/>
                <w:color w:val="000000"/>
                <w:sz w:val="18"/>
                <w:szCs w:val="18"/>
              </w:rPr>
            </w:pPr>
          </w:p>
        </w:tc>
        <w:tc>
          <w:tcPr>
            <w:tcW w:w="108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81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90" w:type="dxa"/>
            <w:tcBorders>
              <w:top w:val="nil"/>
              <w:left w:val="nil"/>
              <w:bottom w:val="nil"/>
              <w:right w:val="nil"/>
            </w:tcBorders>
            <w:shd w:val="clear" w:color="auto" w:fill="EEECE1"/>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3</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4</w:t>
            </w:r>
          </w:p>
        </w:tc>
        <w:tc>
          <w:tcPr>
            <w:tcW w:w="126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Central MT</w:t>
            </w:r>
          </w:p>
        </w:tc>
      </w:tr>
      <w:tr w:rsidR="00FF5E4C" w:rsidRPr="00DE737F" w:rsidTr="00466B35">
        <w:trPr>
          <w:trHeight w:val="262"/>
        </w:trPr>
        <w:tc>
          <w:tcPr>
            <w:tcW w:w="1268"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b/>
                <w:color w:val="000000"/>
                <w:sz w:val="18"/>
                <w:szCs w:val="18"/>
              </w:rPr>
            </w:pPr>
          </w:p>
        </w:tc>
        <w:tc>
          <w:tcPr>
            <w:tcW w:w="108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81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90" w:type="dxa"/>
            <w:tcBorders>
              <w:top w:val="nil"/>
              <w:left w:val="nil"/>
              <w:bottom w:val="nil"/>
              <w:right w:val="nil"/>
            </w:tcBorders>
            <w:shd w:val="clear" w:color="auto" w:fill="EEECE1"/>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3</w:t>
            </w:r>
          </w:p>
        </w:tc>
        <w:tc>
          <w:tcPr>
            <w:tcW w:w="126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Tehachapi</w:t>
            </w:r>
          </w:p>
        </w:tc>
      </w:tr>
      <w:tr w:rsidR="00FF5E4C" w:rsidRPr="00DE737F" w:rsidTr="00466B35">
        <w:trPr>
          <w:trHeight w:val="253"/>
        </w:trPr>
        <w:tc>
          <w:tcPr>
            <w:tcW w:w="1268"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b/>
                <w:color w:val="000000"/>
                <w:sz w:val="18"/>
                <w:szCs w:val="18"/>
              </w:rPr>
            </w:pPr>
          </w:p>
        </w:tc>
        <w:tc>
          <w:tcPr>
            <w:tcW w:w="108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81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9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p>
        </w:tc>
        <w:tc>
          <w:tcPr>
            <w:tcW w:w="900" w:type="dxa"/>
            <w:tcBorders>
              <w:top w:val="nil"/>
              <w:left w:val="nil"/>
              <w:bottom w:val="nil"/>
              <w:right w:val="nil"/>
            </w:tcBorders>
            <w:shd w:val="clear" w:color="auto" w:fill="EEECE1"/>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1</w:t>
            </w:r>
          </w:p>
        </w:tc>
        <w:tc>
          <w:tcPr>
            <w:tcW w:w="1260" w:type="dxa"/>
            <w:tcBorders>
              <w:top w:val="nil"/>
              <w:left w:val="nil"/>
              <w:bottom w:val="nil"/>
              <w:right w:val="nil"/>
            </w:tcBorders>
            <w:tcMar>
              <w:top w:w="8" w:type="dxa"/>
              <w:left w:w="8" w:type="dxa"/>
              <w:bottom w:w="0" w:type="dxa"/>
              <w:right w:w="8" w:type="dxa"/>
            </w:tcMar>
            <w:vAlign w:val="bottom"/>
          </w:tcPr>
          <w:p w:rsidR="00FF5E4C" w:rsidRPr="00DE737F" w:rsidRDefault="00FF5E4C" w:rsidP="00062E8E">
            <w:pPr>
              <w:pStyle w:val="NoSpacing"/>
              <w:rPr>
                <w:rFonts w:cs="Calibri"/>
                <w:color w:val="000000"/>
                <w:sz w:val="18"/>
                <w:szCs w:val="18"/>
              </w:rPr>
            </w:pPr>
            <w:r w:rsidRPr="00DE737F">
              <w:rPr>
                <w:rFonts w:cs="Calibri"/>
                <w:color w:val="000000"/>
                <w:kern w:val="24"/>
                <w:sz w:val="18"/>
                <w:szCs w:val="18"/>
              </w:rPr>
              <w:t>East NM</w:t>
            </w:r>
          </w:p>
        </w:tc>
      </w:tr>
    </w:tbl>
    <w:p w:rsidR="00FF5E4C" w:rsidRPr="009F3361" w:rsidRDefault="00FF5E4C" w:rsidP="00062E8E">
      <w:pPr>
        <w:pStyle w:val="NoSpacing"/>
        <w:rPr>
          <w:rFonts w:cs="Calibri"/>
          <w:color w:val="000000"/>
        </w:rPr>
      </w:pPr>
    </w:p>
    <w:p w:rsidR="00FF5E4C" w:rsidRPr="009F3361" w:rsidRDefault="00FF5E4C" w:rsidP="00062E8E">
      <w:pPr>
        <w:pStyle w:val="NoSpacing"/>
        <w:rPr>
          <w:rFonts w:cs="Calibri"/>
          <w:color w:val="000000"/>
        </w:rPr>
      </w:pPr>
    </w:p>
    <w:p w:rsidR="00FF5E4C" w:rsidRDefault="00FF5E4C" w:rsidP="00062E8E">
      <w:pPr>
        <w:pStyle w:val="NoSpacing"/>
        <w:rPr>
          <w:rFonts w:cs="Calibri"/>
          <w:color w:val="000000"/>
        </w:rPr>
      </w:pPr>
      <w:r w:rsidRPr="009F3361">
        <w:rPr>
          <w:rFonts w:cs="Calibri"/>
          <w:color w:val="000000"/>
        </w:rPr>
        <w:t xml:space="preserve">90% Capacity Credit (number of MW out of 100 that are available 90% of the time): </w:t>
      </w:r>
    </w:p>
    <w:p w:rsidR="00FF5E4C" w:rsidRPr="009F3361" w:rsidRDefault="00FF5E4C" w:rsidP="00062E8E">
      <w:pPr>
        <w:pStyle w:val="NoSpacing"/>
        <w:rPr>
          <w:rFonts w:cs="Calibri"/>
          <w:color w:val="000000"/>
        </w:rPr>
      </w:pPr>
    </w:p>
    <w:tbl>
      <w:tblPr>
        <w:tblW w:w="4790" w:type="pct"/>
        <w:jc w:val="center"/>
        <w:tblCellMar>
          <w:left w:w="0" w:type="dxa"/>
          <w:right w:w="0" w:type="dxa"/>
        </w:tblCellMar>
        <w:tblLook w:val="00A0"/>
      </w:tblPr>
      <w:tblGrid>
        <w:gridCol w:w="684"/>
        <w:gridCol w:w="1060"/>
        <w:gridCol w:w="668"/>
        <w:gridCol w:w="810"/>
        <w:gridCol w:w="701"/>
        <w:gridCol w:w="746"/>
        <w:gridCol w:w="1010"/>
        <w:gridCol w:w="1135"/>
        <w:gridCol w:w="934"/>
        <w:gridCol w:w="1234"/>
      </w:tblGrid>
      <w:tr w:rsidR="00FF5E4C" w:rsidRPr="009F3361" w:rsidTr="00466B35">
        <w:trPr>
          <w:trHeight w:val="217"/>
          <w:jc w:val="center"/>
        </w:trPr>
        <w:tc>
          <w:tcPr>
            <w:tcW w:w="381" w:type="pct"/>
            <w:tcBorders>
              <w:top w:val="nil"/>
              <w:left w:val="nil"/>
              <w:bottom w:val="nil"/>
              <w:right w:val="nil"/>
            </w:tcBorders>
            <w:shd w:val="clear" w:color="auto" w:fill="EEECE1"/>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0</w:t>
            </w:r>
          </w:p>
        </w:tc>
        <w:tc>
          <w:tcPr>
            <w:tcW w:w="5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2</w:t>
            </w:r>
          </w:p>
        </w:tc>
        <w:tc>
          <w:tcPr>
            <w:tcW w:w="37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1</w:t>
            </w:r>
          </w:p>
        </w:tc>
        <w:tc>
          <w:tcPr>
            <w:tcW w:w="45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2</w:t>
            </w:r>
          </w:p>
        </w:tc>
        <w:tc>
          <w:tcPr>
            <w:tcW w:w="3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6</w:t>
            </w:r>
          </w:p>
        </w:tc>
        <w:tc>
          <w:tcPr>
            <w:tcW w:w="415"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3</w:t>
            </w:r>
          </w:p>
        </w:tc>
        <w:tc>
          <w:tcPr>
            <w:tcW w:w="56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4</w:t>
            </w:r>
          </w:p>
        </w:tc>
        <w:tc>
          <w:tcPr>
            <w:tcW w:w="63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4</w:t>
            </w:r>
          </w:p>
        </w:tc>
        <w:tc>
          <w:tcPr>
            <w:tcW w:w="52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5</w:t>
            </w:r>
          </w:p>
        </w:tc>
        <w:tc>
          <w:tcPr>
            <w:tcW w:w="687"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Gorge</w:t>
            </w:r>
          </w:p>
        </w:tc>
      </w:tr>
      <w:tr w:rsidR="00FF5E4C" w:rsidRPr="009F3361" w:rsidTr="00466B35">
        <w:trPr>
          <w:trHeight w:val="65"/>
          <w:jc w:val="center"/>
        </w:trPr>
        <w:tc>
          <w:tcPr>
            <w:tcW w:w="38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90" w:type="pct"/>
            <w:tcBorders>
              <w:top w:val="nil"/>
              <w:left w:val="nil"/>
              <w:bottom w:val="nil"/>
              <w:right w:val="nil"/>
            </w:tcBorders>
            <w:shd w:val="clear" w:color="auto" w:fill="EEECE1"/>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0</w:t>
            </w:r>
          </w:p>
        </w:tc>
        <w:tc>
          <w:tcPr>
            <w:tcW w:w="37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1</w:t>
            </w:r>
          </w:p>
        </w:tc>
        <w:tc>
          <w:tcPr>
            <w:tcW w:w="45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2</w:t>
            </w:r>
          </w:p>
        </w:tc>
        <w:tc>
          <w:tcPr>
            <w:tcW w:w="3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5</w:t>
            </w:r>
          </w:p>
        </w:tc>
        <w:tc>
          <w:tcPr>
            <w:tcW w:w="415"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3</w:t>
            </w:r>
          </w:p>
        </w:tc>
        <w:tc>
          <w:tcPr>
            <w:tcW w:w="56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5</w:t>
            </w:r>
          </w:p>
        </w:tc>
        <w:tc>
          <w:tcPr>
            <w:tcW w:w="63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4</w:t>
            </w:r>
          </w:p>
        </w:tc>
        <w:tc>
          <w:tcPr>
            <w:tcW w:w="52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5</w:t>
            </w:r>
          </w:p>
        </w:tc>
        <w:tc>
          <w:tcPr>
            <w:tcW w:w="687"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So Cent OR</w:t>
            </w:r>
          </w:p>
        </w:tc>
      </w:tr>
      <w:tr w:rsidR="00FF5E4C" w:rsidRPr="009F3361" w:rsidTr="00466B35">
        <w:trPr>
          <w:trHeight w:val="217"/>
          <w:jc w:val="center"/>
        </w:trPr>
        <w:tc>
          <w:tcPr>
            <w:tcW w:w="38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72" w:type="pct"/>
            <w:tcBorders>
              <w:top w:val="nil"/>
              <w:left w:val="nil"/>
              <w:bottom w:val="nil"/>
              <w:right w:val="nil"/>
            </w:tcBorders>
            <w:shd w:val="clear" w:color="auto" w:fill="EEECE1"/>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0</w:t>
            </w:r>
          </w:p>
        </w:tc>
        <w:tc>
          <w:tcPr>
            <w:tcW w:w="45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1</w:t>
            </w:r>
          </w:p>
        </w:tc>
        <w:tc>
          <w:tcPr>
            <w:tcW w:w="3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5</w:t>
            </w:r>
          </w:p>
        </w:tc>
        <w:tc>
          <w:tcPr>
            <w:tcW w:w="415"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3</w:t>
            </w:r>
          </w:p>
        </w:tc>
        <w:tc>
          <w:tcPr>
            <w:tcW w:w="56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3</w:t>
            </w:r>
          </w:p>
        </w:tc>
        <w:tc>
          <w:tcPr>
            <w:tcW w:w="63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3</w:t>
            </w:r>
          </w:p>
        </w:tc>
        <w:tc>
          <w:tcPr>
            <w:tcW w:w="52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4</w:t>
            </w:r>
          </w:p>
        </w:tc>
        <w:tc>
          <w:tcPr>
            <w:tcW w:w="687"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 xml:space="preserve">Snake </w:t>
            </w:r>
          </w:p>
        </w:tc>
      </w:tr>
      <w:tr w:rsidR="00FF5E4C" w:rsidRPr="009F3361" w:rsidTr="00466B35">
        <w:trPr>
          <w:trHeight w:val="199"/>
          <w:jc w:val="center"/>
        </w:trPr>
        <w:tc>
          <w:tcPr>
            <w:tcW w:w="38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7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451" w:type="pct"/>
            <w:tcBorders>
              <w:top w:val="nil"/>
              <w:left w:val="nil"/>
              <w:bottom w:val="nil"/>
              <w:right w:val="nil"/>
            </w:tcBorders>
            <w:shd w:val="clear" w:color="auto" w:fill="EEECE1"/>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0</w:t>
            </w:r>
          </w:p>
        </w:tc>
        <w:tc>
          <w:tcPr>
            <w:tcW w:w="3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4</w:t>
            </w:r>
          </w:p>
        </w:tc>
        <w:tc>
          <w:tcPr>
            <w:tcW w:w="415"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6</w:t>
            </w:r>
          </w:p>
        </w:tc>
        <w:tc>
          <w:tcPr>
            <w:tcW w:w="56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7</w:t>
            </w:r>
          </w:p>
        </w:tc>
        <w:tc>
          <w:tcPr>
            <w:tcW w:w="63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8</w:t>
            </w:r>
          </w:p>
        </w:tc>
        <w:tc>
          <w:tcPr>
            <w:tcW w:w="52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9</w:t>
            </w:r>
          </w:p>
        </w:tc>
        <w:tc>
          <w:tcPr>
            <w:tcW w:w="687"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SW WY</w:t>
            </w:r>
          </w:p>
        </w:tc>
      </w:tr>
      <w:tr w:rsidR="00FF5E4C" w:rsidRPr="009F3361" w:rsidTr="00466B35">
        <w:trPr>
          <w:trHeight w:val="235"/>
          <w:jc w:val="center"/>
        </w:trPr>
        <w:tc>
          <w:tcPr>
            <w:tcW w:w="38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7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45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90" w:type="pct"/>
            <w:tcBorders>
              <w:top w:val="nil"/>
              <w:left w:val="nil"/>
              <w:bottom w:val="nil"/>
              <w:right w:val="nil"/>
            </w:tcBorders>
            <w:shd w:val="clear" w:color="auto" w:fill="EEECE1"/>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2</w:t>
            </w:r>
          </w:p>
        </w:tc>
        <w:tc>
          <w:tcPr>
            <w:tcW w:w="415"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3</w:t>
            </w:r>
          </w:p>
        </w:tc>
        <w:tc>
          <w:tcPr>
            <w:tcW w:w="56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4</w:t>
            </w:r>
          </w:p>
        </w:tc>
        <w:tc>
          <w:tcPr>
            <w:tcW w:w="63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4</w:t>
            </w:r>
          </w:p>
        </w:tc>
        <w:tc>
          <w:tcPr>
            <w:tcW w:w="52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4</w:t>
            </w:r>
          </w:p>
        </w:tc>
        <w:tc>
          <w:tcPr>
            <w:tcW w:w="687"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SE WY</w:t>
            </w:r>
          </w:p>
        </w:tc>
      </w:tr>
      <w:tr w:rsidR="00FF5E4C" w:rsidRPr="009F3361" w:rsidTr="00466B35">
        <w:trPr>
          <w:trHeight w:val="235"/>
          <w:jc w:val="center"/>
        </w:trPr>
        <w:tc>
          <w:tcPr>
            <w:tcW w:w="38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7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45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415" w:type="pct"/>
            <w:tcBorders>
              <w:top w:val="nil"/>
              <w:left w:val="nil"/>
              <w:bottom w:val="nil"/>
              <w:right w:val="nil"/>
            </w:tcBorders>
            <w:shd w:val="clear" w:color="auto" w:fill="EEECE1"/>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0</w:t>
            </w:r>
          </w:p>
        </w:tc>
        <w:tc>
          <w:tcPr>
            <w:tcW w:w="56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4</w:t>
            </w:r>
          </w:p>
        </w:tc>
        <w:tc>
          <w:tcPr>
            <w:tcW w:w="63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5</w:t>
            </w:r>
          </w:p>
        </w:tc>
        <w:tc>
          <w:tcPr>
            <w:tcW w:w="52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6</w:t>
            </w:r>
          </w:p>
        </w:tc>
        <w:tc>
          <w:tcPr>
            <w:tcW w:w="687"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NE MT</w:t>
            </w:r>
          </w:p>
        </w:tc>
      </w:tr>
      <w:tr w:rsidR="00FF5E4C" w:rsidRPr="009F3361" w:rsidTr="00466B35">
        <w:trPr>
          <w:trHeight w:val="217"/>
          <w:jc w:val="center"/>
        </w:trPr>
        <w:tc>
          <w:tcPr>
            <w:tcW w:w="38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7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45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415"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62" w:type="pct"/>
            <w:tcBorders>
              <w:top w:val="nil"/>
              <w:left w:val="nil"/>
              <w:bottom w:val="nil"/>
              <w:right w:val="nil"/>
            </w:tcBorders>
            <w:shd w:val="clear" w:color="auto" w:fill="EEECE1"/>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1</w:t>
            </w:r>
          </w:p>
        </w:tc>
        <w:tc>
          <w:tcPr>
            <w:tcW w:w="63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7</w:t>
            </w:r>
          </w:p>
        </w:tc>
        <w:tc>
          <w:tcPr>
            <w:tcW w:w="52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8</w:t>
            </w:r>
          </w:p>
        </w:tc>
        <w:tc>
          <w:tcPr>
            <w:tcW w:w="687"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Central MT</w:t>
            </w:r>
          </w:p>
        </w:tc>
      </w:tr>
      <w:tr w:rsidR="00FF5E4C" w:rsidRPr="009F3361" w:rsidTr="00466B35">
        <w:trPr>
          <w:trHeight w:val="154"/>
          <w:jc w:val="center"/>
        </w:trPr>
        <w:tc>
          <w:tcPr>
            <w:tcW w:w="38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7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45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415"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6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632" w:type="pct"/>
            <w:tcBorders>
              <w:top w:val="nil"/>
              <w:left w:val="nil"/>
              <w:bottom w:val="nil"/>
              <w:right w:val="nil"/>
            </w:tcBorders>
            <w:shd w:val="clear" w:color="auto" w:fill="EEECE1"/>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1</w:t>
            </w:r>
          </w:p>
        </w:tc>
        <w:tc>
          <w:tcPr>
            <w:tcW w:w="52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6</w:t>
            </w:r>
          </w:p>
        </w:tc>
        <w:tc>
          <w:tcPr>
            <w:tcW w:w="687"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Tehachapi</w:t>
            </w:r>
          </w:p>
        </w:tc>
      </w:tr>
      <w:tr w:rsidR="00FF5E4C" w:rsidRPr="009F3361" w:rsidTr="00466B35">
        <w:trPr>
          <w:trHeight w:val="262"/>
          <w:jc w:val="center"/>
        </w:trPr>
        <w:tc>
          <w:tcPr>
            <w:tcW w:w="38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7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451"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390"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415"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6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632"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p>
        </w:tc>
        <w:tc>
          <w:tcPr>
            <w:tcW w:w="520" w:type="pct"/>
            <w:tcBorders>
              <w:top w:val="nil"/>
              <w:left w:val="nil"/>
              <w:bottom w:val="nil"/>
              <w:right w:val="nil"/>
            </w:tcBorders>
            <w:shd w:val="clear" w:color="auto" w:fill="EEECE1"/>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1</w:t>
            </w:r>
          </w:p>
        </w:tc>
        <w:tc>
          <w:tcPr>
            <w:tcW w:w="687" w:type="pct"/>
            <w:tcBorders>
              <w:top w:val="nil"/>
              <w:left w:val="nil"/>
              <w:bottom w:val="nil"/>
              <w:right w:val="nil"/>
            </w:tcBorders>
            <w:tcMar>
              <w:top w:w="8" w:type="dxa"/>
              <w:left w:w="8" w:type="dxa"/>
              <w:bottom w:w="0" w:type="dxa"/>
              <w:right w:w="8" w:type="dxa"/>
            </w:tcMar>
            <w:vAlign w:val="bottom"/>
          </w:tcPr>
          <w:p w:rsidR="00FF5E4C" w:rsidRPr="009F3361" w:rsidRDefault="00FF5E4C" w:rsidP="00062E8E">
            <w:pPr>
              <w:pStyle w:val="NoSpacing"/>
              <w:rPr>
                <w:rFonts w:cs="Calibri"/>
                <w:color w:val="000000"/>
              </w:rPr>
            </w:pPr>
            <w:r w:rsidRPr="009F3361">
              <w:rPr>
                <w:rFonts w:cs="Calibri"/>
                <w:color w:val="000000"/>
              </w:rPr>
              <w:t>East NM</w:t>
            </w:r>
          </w:p>
        </w:tc>
      </w:tr>
    </w:tbl>
    <w:p w:rsidR="00FF5E4C" w:rsidRPr="009F3361" w:rsidRDefault="00FF5E4C" w:rsidP="00062E8E">
      <w:pPr>
        <w:pStyle w:val="NoSpacing"/>
        <w:rPr>
          <w:rFonts w:cs="Calibri"/>
          <w:color w:val="000000"/>
        </w:rPr>
      </w:pPr>
    </w:p>
    <w:p w:rsidR="00FF5E4C" w:rsidRDefault="00FF5E4C" w:rsidP="00183B79">
      <w:pPr>
        <w:pStyle w:val="NoSpacing"/>
        <w:jc w:val="both"/>
        <w:rPr>
          <w:rFonts w:cs="Calibri"/>
          <w:b/>
          <w:color w:val="000000"/>
          <w:sz w:val="20"/>
          <w:szCs w:val="20"/>
          <w:u w:val="single"/>
        </w:rPr>
      </w:pPr>
    </w:p>
    <w:p w:rsidR="00FF5E4C" w:rsidRPr="00183B79" w:rsidRDefault="00FF5E4C" w:rsidP="00183B79">
      <w:pPr>
        <w:pStyle w:val="NoSpacing"/>
        <w:jc w:val="both"/>
        <w:rPr>
          <w:rFonts w:cs="Calibri"/>
          <w:b/>
          <w:color w:val="000000"/>
          <w:sz w:val="20"/>
          <w:szCs w:val="20"/>
          <w:u w:val="single"/>
        </w:rPr>
      </w:pPr>
      <w:r w:rsidRPr="00183B79">
        <w:rPr>
          <w:rFonts w:cs="Calibri"/>
          <w:b/>
          <w:color w:val="000000"/>
          <w:sz w:val="20"/>
          <w:szCs w:val="20"/>
          <w:u w:val="single"/>
        </w:rPr>
        <w:t>Key Assumptions</w:t>
      </w:r>
    </w:p>
    <w:p w:rsidR="00FF5E4C" w:rsidRPr="007F3A91" w:rsidRDefault="00FF5E4C" w:rsidP="00183B79">
      <w:pPr>
        <w:pStyle w:val="NoSpacing"/>
        <w:jc w:val="both"/>
        <w:rPr>
          <w:rFonts w:cs="Calibri"/>
          <w:color w:val="000000"/>
          <w:sz w:val="20"/>
          <w:szCs w:val="20"/>
        </w:rPr>
      </w:pPr>
      <w:r w:rsidRPr="007F3A91">
        <w:rPr>
          <w:rFonts w:cs="Calibri"/>
          <w:color w:val="000000"/>
          <w:sz w:val="20"/>
          <w:szCs w:val="20"/>
        </w:rPr>
        <w:t xml:space="preserve">This study used the same wind data that the TEPPC analysis used.  Although it compared the effects of combined wind zones, it did not provide any insights into the transmission requirements to get the remote resources to the load.  </w:t>
      </w:r>
    </w:p>
    <w:p w:rsidR="00FF5E4C" w:rsidRPr="007F3A91" w:rsidRDefault="00FF5E4C" w:rsidP="00183B79">
      <w:pPr>
        <w:pStyle w:val="NoSpacing"/>
        <w:jc w:val="both"/>
        <w:rPr>
          <w:rFonts w:cs="Calibri"/>
          <w:color w:val="000000"/>
          <w:sz w:val="20"/>
          <w:szCs w:val="20"/>
        </w:rPr>
      </w:pPr>
    </w:p>
    <w:p w:rsidR="00FF5E4C" w:rsidRPr="00183B79" w:rsidRDefault="00FF5E4C" w:rsidP="00183B79">
      <w:pPr>
        <w:pStyle w:val="NoSpacing"/>
        <w:jc w:val="both"/>
        <w:rPr>
          <w:rFonts w:cs="Calibri"/>
          <w:b/>
          <w:color w:val="000000"/>
          <w:sz w:val="20"/>
          <w:szCs w:val="20"/>
          <w:u w:val="single"/>
        </w:rPr>
      </w:pPr>
      <w:r w:rsidRPr="00183B79">
        <w:rPr>
          <w:rFonts w:cs="Calibri"/>
          <w:b/>
          <w:color w:val="000000"/>
          <w:sz w:val="20"/>
          <w:szCs w:val="20"/>
          <w:u w:val="single"/>
        </w:rPr>
        <w:t>Conclusions</w:t>
      </w:r>
    </w:p>
    <w:p w:rsidR="00FF5E4C" w:rsidRPr="007F3A91" w:rsidRDefault="00FF5E4C" w:rsidP="00183B79">
      <w:pPr>
        <w:pStyle w:val="NoSpacing"/>
        <w:jc w:val="both"/>
        <w:rPr>
          <w:rFonts w:cs="Calibri"/>
          <w:color w:val="000000"/>
          <w:sz w:val="20"/>
          <w:szCs w:val="20"/>
        </w:rPr>
      </w:pPr>
      <w:r w:rsidRPr="007F3A91">
        <w:rPr>
          <w:rFonts w:cs="Calibri"/>
          <w:color w:val="000000"/>
          <w:sz w:val="20"/>
          <w:szCs w:val="20"/>
        </w:rPr>
        <w:t>Conclusions concerning economic benefits are difficult to assess as no capital or production costs are included in the study.  The study does show that combining local wind in Oregon and Washington with Montana and/or Wyoming wind will improve capacity factors and reduce ramp rates.  Improved capacity factors will presumably lead to reduced costs as fewer turbines will be required to produce the same amount of energy.</w:t>
      </w:r>
    </w:p>
    <w:p w:rsidR="00FF5E4C" w:rsidRPr="007F3A91" w:rsidRDefault="00FF5E4C" w:rsidP="00183B79">
      <w:pPr>
        <w:pStyle w:val="NoSpacing"/>
        <w:jc w:val="both"/>
        <w:rPr>
          <w:rFonts w:cs="Calibri"/>
          <w:color w:val="000000"/>
          <w:sz w:val="20"/>
          <w:szCs w:val="20"/>
        </w:rPr>
      </w:pPr>
    </w:p>
    <w:p w:rsidR="00FF5E4C" w:rsidRPr="007F3A91" w:rsidRDefault="00FF5E4C" w:rsidP="00183B79">
      <w:pPr>
        <w:pStyle w:val="NoSpacing"/>
        <w:jc w:val="both"/>
        <w:rPr>
          <w:rFonts w:cs="Calibri"/>
          <w:color w:val="000000"/>
          <w:sz w:val="20"/>
          <w:szCs w:val="20"/>
        </w:rPr>
      </w:pPr>
      <w:r w:rsidRPr="007F3A91">
        <w:rPr>
          <w:rFonts w:cs="Calibri"/>
          <w:color w:val="000000"/>
          <w:sz w:val="20"/>
          <w:szCs w:val="20"/>
        </w:rPr>
        <w:t>Overall, ramps rates were reduced when Oregon/Washington wind was combined with remote wind in Montana and Wyoming.  Combining generation from these areas did not show reductions in regulation and load balancing requirements for serving NW load.  There were modest increases in capacity credit from combining wind generation zones.</w:t>
      </w:r>
    </w:p>
    <w:p w:rsidR="00FF5E4C" w:rsidRPr="007F3A91" w:rsidRDefault="00FF5E4C" w:rsidP="00183B79">
      <w:pPr>
        <w:pStyle w:val="NoSpacing"/>
        <w:jc w:val="both"/>
        <w:rPr>
          <w:rFonts w:cs="Calibri"/>
          <w:color w:val="000000"/>
          <w:sz w:val="20"/>
          <w:szCs w:val="20"/>
        </w:rPr>
      </w:pPr>
    </w:p>
    <w:p w:rsidR="00FF5E4C" w:rsidRPr="00183B79" w:rsidRDefault="00FF5E4C" w:rsidP="00183B79">
      <w:pPr>
        <w:pStyle w:val="NoSpacing"/>
        <w:jc w:val="both"/>
        <w:rPr>
          <w:rFonts w:cs="Calibri"/>
          <w:b/>
          <w:color w:val="000000"/>
          <w:sz w:val="20"/>
          <w:szCs w:val="20"/>
          <w:u w:val="single"/>
        </w:rPr>
      </w:pPr>
      <w:r w:rsidRPr="00183B79">
        <w:rPr>
          <w:rFonts w:cs="Calibri"/>
          <w:b/>
          <w:color w:val="000000"/>
          <w:sz w:val="20"/>
          <w:szCs w:val="20"/>
          <w:u w:val="single"/>
        </w:rPr>
        <w:t>Recommended Future Work</w:t>
      </w:r>
    </w:p>
    <w:p w:rsidR="00FF5E4C" w:rsidRDefault="00FF5E4C" w:rsidP="00BE3758">
      <w:pPr>
        <w:pStyle w:val="NoSpacing"/>
        <w:numPr>
          <w:ilvl w:val="0"/>
          <w:numId w:val="20"/>
        </w:numPr>
        <w:jc w:val="both"/>
        <w:rPr>
          <w:rFonts w:cs="Calibri"/>
          <w:color w:val="000000"/>
          <w:sz w:val="20"/>
          <w:szCs w:val="20"/>
        </w:rPr>
      </w:pPr>
      <w:r w:rsidRPr="007F3A91">
        <w:rPr>
          <w:rFonts w:cs="Calibri"/>
          <w:color w:val="000000"/>
          <w:sz w:val="20"/>
          <w:szCs w:val="20"/>
        </w:rPr>
        <w:t>Develop transmission cost information to move the remote wind to the load areas</w:t>
      </w:r>
    </w:p>
    <w:p w:rsidR="00FF5E4C" w:rsidRDefault="00FF5E4C" w:rsidP="00BE3758">
      <w:pPr>
        <w:pStyle w:val="NoSpacing"/>
        <w:numPr>
          <w:ilvl w:val="0"/>
          <w:numId w:val="20"/>
        </w:numPr>
        <w:jc w:val="both"/>
        <w:rPr>
          <w:rFonts w:cs="Calibri"/>
          <w:color w:val="000000"/>
        </w:rPr>
      </w:pPr>
      <w:r w:rsidRPr="007F3A91">
        <w:rPr>
          <w:rFonts w:cs="Calibri"/>
          <w:color w:val="000000"/>
          <w:sz w:val="20"/>
          <w:szCs w:val="20"/>
        </w:rPr>
        <w:t>Verify the ultimate capacity available in the zones that was provided with the wind data.</w:t>
      </w:r>
      <w:r w:rsidRPr="009F3361">
        <w:rPr>
          <w:rFonts w:cs="Calibri"/>
          <w:color w:val="000000"/>
        </w:rPr>
        <w:br w:type="page"/>
      </w:r>
    </w:p>
    <w:p w:rsidR="00FF5E4C" w:rsidRPr="00DE737F" w:rsidRDefault="00FF5E4C" w:rsidP="00DE737F">
      <w:pPr>
        <w:pStyle w:val="Heading2"/>
        <w:rPr>
          <w:rFonts w:ascii="Calibri" w:hAnsi="Calibri" w:cs="Calibri"/>
          <w:color w:val="000000"/>
          <w:sz w:val="22"/>
          <w:szCs w:val="22"/>
        </w:rPr>
      </w:pPr>
      <w:bookmarkStart w:id="8" w:name="_Toc260752699"/>
      <w:r w:rsidRPr="00DE737F">
        <w:rPr>
          <w:rFonts w:ascii="Calibri" w:hAnsi="Calibri" w:cs="Calibri"/>
          <w:color w:val="000000"/>
          <w:sz w:val="22"/>
          <w:szCs w:val="22"/>
        </w:rPr>
        <w:t>IPC Studies</w:t>
      </w:r>
      <w:bookmarkEnd w:id="8"/>
      <w:r w:rsidRPr="00DE737F">
        <w:rPr>
          <w:rFonts w:ascii="Calibri" w:hAnsi="Calibri" w:cs="Calibri"/>
          <w:color w:val="000000"/>
          <w:sz w:val="22"/>
          <w:szCs w:val="22"/>
        </w:rPr>
        <w:t xml:space="preserve"> </w:t>
      </w:r>
    </w:p>
    <w:p w:rsidR="00FF5E4C" w:rsidRDefault="00FF5E4C" w:rsidP="00E26FE8">
      <w:pPr>
        <w:pStyle w:val="NoSpacing"/>
      </w:pPr>
    </w:p>
    <w:p w:rsidR="00FF5E4C" w:rsidRDefault="00FF5E4C" w:rsidP="00E26FE8">
      <w:pPr>
        <w:pStyle w:val="NoSpacing"/>
        <w:rPr>
          <w:b/>
          <w:sz w:val="20"/>
          <w:szCs w:val="20"/>
          <w:u w:val="single"/>
        </w:rPr>
      </w:pPr>
      <w:r w:rsidRPr="00E26FE8">
        <w:rPr>
          <w:b/>
          <w:sz w:val="20"/>
          <w:szCs w:val="20"/>
          <w:u w:val="single"/>
        </w:rPr>
        <w:t>Regulation Studies:</w:t>
      </w:r>
    </w:p>
    <w:p w:rsidR="00FF5E4C" w:rsidRPr="00E26FE8" w:rsidRDefault="00FF5E4C" w:rsidP="00E26FE8">
      <w:pPr>
        <w:pStyle w:val="NoSpacing"/>
        <w:rPr>
          <w:b/>
          <w:sz w:val="20"/>
          <w:szCs w:val="20"/>
          <w:u w:val="single"/>
        </w:rPr>
      </w:pPr>
    </w:p>
    <w:p w:rsidR="00FF5E4C" w:rsidRPr="00E26FE8" w:rsidRDefault="00FF5E4C" w:rsidP="00E26FE8">
      <w:pPr>
        <w:pStyle w:val="NoSpacing"/>
        <w:rPr>
          <w:b/>
          <w:sz w:val="20"/>
          <w:szCs w:val="20"/>
          <w:u w:val="single"/>
        </w:rPr>
      </w:pPr>
      <w:r w:rsidRPr="00E26FE8">
        <w:rPr>
          <w:b/>
          <w:sz w:val="20"/>
          <w:szCs w:val="20"/>
          <w:u w:val="single"/>
        </w:rPr>
        <w:t>1. 1000 MW Incremental Load and Wind:</w:t>
      </w:r>
    </w:p>
    <w:p w:rsidR="00FF5E4C" w:rsidRDefault="00FF5E4C" w:rsidP="00B838CA">
      <w:pPr>
        <w:pStyle w:val="NoSpacing"/>
        <w:jc w:val="both"/>
        <w:rPr>
          <w:sz w:val="20"/>
          <w:szCs w:val="20"/>
        </w:rPr>
      </w:pPr>
    </w:p>
    <w:p w:rsidR="00FF5E4C" w:rsidRDefault="00FF5E4C" w:rsidP="00B838CA">
      <w:pPr>
        <w:pStyle w:val="NoSpacing"/>
        <w:jc w:val="both"/>
        <w:rPr>
          <w:sz w:val="20"/>
          <w:szCs w:val="20"/>
        </w:rPr>
      </w:pPr>
      <w:r>
        <w:rPr>
          <w:sz w:val="20"/>
          <w:szCs w:val="20"/>
        </w:rPr>
        <w:t>Idaho Power</w:t>
      </w:r>
      <w:r w:rsidRPr="00E26FE8">
        <w:rPr>
          <w:sz w:val="20"/>
          <w:szCs w:val="20"/>
        </w:rPr>
        <w:t xml:space="preserve"> prepared several studies of integrating wind resources into the</w:t>
      </w:r>
      <w:r>
        <w:rPr>
          <w:sz w:val="20"/>
          <w:szCs w:val="20"/>
        </w:rPr>
        <w:t>ir</w:t>
      </w:r>
      <w:r w:rsidRPr="00E26FE8">
        <w:rPr>
          <w:sz w:val="20"/>
          <w:szCs w:val="20"/>
        </w:rPr>
        <w:t xml:space="preserve"> system.  </w:t>
      </w:r>
      <w:r>
        <w:rPr>
          <w:sz w:val="20"/>
          <w:szCs w:val="20"/>
        </w:rPr>
        <w:t>The</w:t>
      </w:r>
      <w:r w:rsidRPr="00E26FE8">
        <w:rPr>
          <w:sz w:val="20"/>
          <w:szCs w:val="20"/>
        </w:rPr>
        <w:t xml:space="preserve"> first analysis using a matrix spread sheet approach estimated the amount of additional fast dispatchable generation that theoretically would be needed to supply regulation, load following, and energy to reliably integrate an incremental addition of 1000 MW of wind to supply an incremental 1000 MW of Idaho load growth.  </w:t>
      </w:r>
    </w:p>
    <w:p w:rsidR="00FF5E4C" w:rsidRDefault="00FF5E4C" w:rsidP="00B838CA">
      <w:pPr>
        <w:pStyle w:val="NoSpacing"/>
        <w:jc w:val="both"/>
        <w:rPr>
          <w:sz w:val="20"/>
          <w:szCs w:val="20"/>
        </w:rPr>
      </w:pPr>
    </w:p>
    <w:p w:rsidR="00FF5E4C" w:rsidRPr="00E26FE8" w:rsidRDefault="00FF5E4C" w:rsidP="00B838CA">
      <w:pPr>
        <w:pStyle w:val="NoSpacing"/>
        <w:jc w:val="both"/>
        <w:rPr>
          <w:sz w:val="20"/>
          <w:szCs w:val="20"/>
        </w:rPr>
      </w:pPr>
      <w:r>
        <w:rPr>
          <w:sz w:val="20"/>
          <w:szCs w:val="20"/>
        </w:rPr>
        <w:t>This</w:t>
      </w:r>
      <w:r w:rsidRPr="00E26FE8">
        <w:rPr>
          <w:sz w:val="20"/>
          <w:szCs w:val="20"/>
        </w:rPr>
        <w:t xml:space="preserve"> analysis assumed a balanced Idaho base condition having load and resource mix with just enough reserves and load following for the base. </w:t>
      </w:r>
    </w:p>
    <w:p w:rsidR="00FF5E4C" w:rsidRPr="00E26FE8" w:rsidRDefault="00FF5E4C" w:rsidP="00B838CA">
      <w:pPr>
        <w:pStyle w:val="NoSpacing"/>
        <w:jc w:val="both"/>
        <w:rPr>
          <w:sz w:val="20"/>
          <w:szCs w:val="20"/>
        </w:rPr>
      </w:pPr>
    </w:p>
    <w:p w:rsidR="00FF5E4C" w:rsidRPr="00B838CA" w:rsidRDefault="00FF5E4C" w:rsidP="00B838CA">
      <w:pPr>
        <w:pStyle w:val="NoSpacing"/>
        <w:jc w:val="both"/>
        <w:rPr>
          <w:sz w:val="20"/>
          <w:szCs w:val="20"/>
        </w:rPr>
      </w:pPr>
      <w:r>
        <w:rPr>
          <w:sz w:val="20"/>
          <w:szCs w:val="20"/>
        </w:rPr>
        <w:t>The study</w:t>
      </w:r>
      <w:r w:rsidRPr="00B838CA">
        <w:rPr>
          <w:sz w:val="20"/>
          <w:szCs w:val="20"/>
        </w:rPr>
        <w:t xml:space="preserve"> used 2006 10 minute NREL wind data converted to ge</w:t>
      </w:r>
      <w:r>
        <w:rPr>
          <w:sz w:val="20"/>
          <w:szCs w:val="20"/>
        </w:rPr>
        <w:t>neration MW and combined 333 MW</w:t>
      </w:r>
      <w:r w:rsidRPr="00B838CA">
        <w:rPr>
          <w:sz w:val="20"/>
          <w:szCs w:val="20"/>
        </w:rPr>
        <w:t xml:space="preserve"> of wind resources from each of three REZ wind areas.  </w:t>
      </w:r>
      <w:r>
        <w:rPr>
          <w:sz w:val="20"/>
          <w:szCs w:val="20"/>
        </w:rPr>
        <w:t>It</w:t>
      </w:r>
      <w:r w:rsidRPr="00B838CA">
        <w:rPr>
          <w:sz w:val="20"/>
          <w:szCs w:val="20"/>
        </w:rPr>
        <w:t xml:space="preserve"> combined the three areas (Wyoming, eastern Montana, and Columbia River Basin) to total 1000 MW using </w:t>
      </w:r>
      <w:r>
        <w:rPr>
          <w:sz w:val="20"/>
          <w:szCs w:val="20"/>
        </w:rPr>
        <w:t>the</w:t>
      </w:r>
      <w:r w:rsidRPr="00B838CA">
        <w:rPr>
          <w:sz w:val="20"/>
          <w:szCs w:val="20"/>
        </w:rPr>
        <w:t xml:space="preserve"> respective wind characteristics to capture maximum wind diversity. </w:t>
      </w:r>
      <w:r>
        <w:rPr>
          <w:sz w:val="20"/>
          <w:szCs w:val="20"/>
        </w:rPr>
        <w:t>It</w:t>
      </w:r>
      <w:r w:rsidRPr="00B838CA">
        <w:rPr>
          <w:sz w:val="20"/>
          <w:szCs w:val="20"/>
        </w:rPr>
        <w:t xml:space="preserve"> extrapolated a 1000 MW load increase using actual 10 minute Idaho load shape demand data characteristics</w:t>
      </w:r>
      <w:r>
        <w:rPr>
          <w:sz w:val="20"/>
          <w:szCs w:val="20"/>
        </w:rPr>
        <w:t>,</w:t>
      </w:r>
      <w:r w:rsidRPr="00B838CA">
        <w:rPr>
          <w:sz w:val="20"/>
          <w:szCs w:val="20"/>
        </w:rPr>
        <w:t xml:space="preserve"> also from 2006</w:t>
      </w:r>
      <w:r>
        <w:rPr>
          <w:sz w:val="20"/>
          <w:szCs w:val="20"/>
        </w:rPr>
        <w:t>,</w:t>
      </w:r>
      <w:r w:rsidRPr="00B838CA">
        <w:rPr>
          <w:sz w:val="20"/>
          <w:szCs w:val="20"/>
        </w:rPr>
        <w:t xml:space="preserve"> to create the hypothetical future year.  </w:t>
      </w:r>
    </w:p>
    <w:p w:rsidR="00FF5E4C" w:rsidRPr="00B838CA" w:rsidRDefault="00FF5E4C" w:rsidP="00B838CA">
      <w:pPr>
        <w:pStyle w:val="NoSpacing"/>
        <w:jc w:val="both"/>
        <w:rPr>
          <w:sz w:val="20"/>
          <w:szCs w:val="20"/>
        </w:rPr>
      </w:pPr>
    </w:p>
    <w:p w:rsidR="00FF5E4C" w:rsidRPr="00B838CA" w:rsidRDefault="00FF5E4C" w:rsidP="00B838CA">
      <w:pPr>
        <w:pStyle w:val="NoSpacing"/>
        <w:jc w:val="both"/>
        <w:rPr>
          <w:sz w:val="20"/>
          <w:szCs w:val="20"/>
        </w:rPr>
      </w:pPr>
      <w:r>
        <w:rPr>
          <w:sz w:val="20"/>
          <w:szCs w:val="20"/>
        </w:rPr>
        <w:t>The study</w:t>
      </w:r>
      <w:r w:rsidRPr="00B838CA">
        <w:rPr>
          <w:sz w:val="20"/>
          <w:szCs w:val="20"/>
        </w:rPr>
        <w:t xml:space="preserve"> plotted scatter diagrams for each month stacking the 10 minute wind generation values corresponding to each 10 minute load value.   Wind MW values are on the Y axis and correspond to each MW level of increasing loads (from 0 to 1000 MW) on the X axis.  </w:t>
      </w:r>
    </w:p>
    <w:p w:rsidR="00FF5E4C" w:rsidRPr="00B838CA" w:rsidRDefault="00FF5E4C" w:rsidP="00B838CA">
      <w:pPr>
        <w:pStyle w:val="NoSpacing"/>
        <w:jc w:val="both"/>
        <w:rPr>
          <w:sz w:val="20"/>
          <w:szCs w:val="20"/>
        </w:rPr>
      </w:pPr>
    </w:p>
    <w:p w:rsidR="00FF5E4C" w:rsidRPr="00B838CA" w:rsidRDefault="00FF5E4C" w:rsidP="00B838CA">
      <w:pPr>
        <w:pStyle w:val="NoSpacing"/>
        <w:jc w:val="both"/>
        <w:rPr>
          <w:sz w:val="20"/>
          <w:szCs w:val="20"/>
        </w:rPr>
      </w:pPr>
      <w:r w:rsidRPr="00B838CA">
        <w:rPr>
          <w:sz w:val="20"/>
          <w:szCs w:val="20"/>
        </w:rPr>
        <w:t xml:space="preserve">The plots show the variation of wind generation for 10 minute load levels during the month.  The difference between the 10 minute generation points and load levels indicates the additional amount of regulation up or down that would be needed for load resource balance.  For example in January for hours with a load level of 425 MW, the wind generation ranged from approximately 425 MW to 925 MW requiring regulation of 195 up to 500 MW down.  For January the loads varied from a minimum of 425 to a maximum of 675 MW while the wind ranged from 75 to 930 MW.  </w:t>
      </w:r>
    </w:p>
    <w:p w:rsidR="00FF5E4C" w:rsidRPr="00471A79" w:rsidRDefault="00FF5E4C" w:rsidP="00B838CA">
      <w:pPr>
        <w:pStyle w:val="NoSpacing"/>
        <w:jc w:val="both"/>
      </w:pPr>
    </w:p>
    <w:p w:rsidR="00FF5E4C" w:rsidRPr="00471A79" w:rsidRDefault="00FF5E4C" w:rsidP="00492C34">
      <w:pPr>
        <w:rPr>
          <w:rFonts w:cs="Calibri"/>
          <w:sz w:val="20"/>
          <w:szCs w:val="20"/>
        </w:rPr>
      </w:pPr>
      <w:r w:rsidRPr="0007596D">
        <w:rPr>
          <w:rFonts w:cs="Calibri"/>
          <w:noProof/>
          <w:sz w:val="20"/>
          <w:szCs w:val="20"/>
        </w:rPr>
        <w:pict>
          <v:shape id="Picture 39" o:spid="_x0000_i1037" type="#_x0000_t75" style="width:307.5pt;height:3in;visibility:visible">
            <v:imagedata r:id="rId25" o:title=""/>
          </v:shape>
        </w:pict>
      </w:r>
    </w:p>
    <w:p w:rsidR="00FF5E4C" w:rsidRDefault="00FF5E4C" w:rsidP="00B838CA">
      <w:pPr>
        <w:pStyle w:val="NoSpacing"/>
        <w:jc w:val="both"/>
        <w:rPr>
          <w:sz w:val="20"/>
          <w:szCs w:val="20"/>
        </w:rPr>
      </w:pPr>
      <w:r>
        <w:rPr>
          <w:sz w:val="20"/>
          <w:szCs w:val="20"/>
        </w:rPr>
        <w:t>The study</w:t>
      </w:r>
      <w:r w:rsidRPr="00B838CA">
        <w:rPr>
          <w:sz w:val="20"/>
          <w:szCs w:val="20"/>
        </w:rPr>
        <w:t xml:space="preserve"> also plotted a point representing the average energy generated in a 10 minute period in each month (orange circle).  </w:t>
      </w:r>
      <w:r>
        <w:rPr>
          <w:sz w:val="20"/>
          <w:szCs w:val="20"/>
        </w:rPr>
        <w:t>I</w:t>
      </w:r>
      <w:r w:rsidRPr="00B838CA">
        <w:rPr>
          <w:sz w:val="20"/>
          <w:szCs w:val="20"/>
        </w:rPr>
        <w:t>t appears there are as many hours of wind generation above and below the load level such that incremental wind energy likely met or exceeded incremental load energy requirements averaged over the month of January.  Individual data points sometime overlap each other but the orange circle in the middle of the plot shows the actual average values</w:t>
      </w:r>
      <w:r>
        <w:rPr>
          <w:sz w:val="20"/>
          <w:szCs w:val="20"/>
        </w:rPr>
        <w:t>.</w:t>
      </w:r>
      <w:r w:rsidRPr="00B838CA">
        <w:rPr>
          <w:sz w:val="20"/>
          <w:szCs w:val="20"/>
        </w:rPr>
        <w:t xml:space="preserve"> </w:t>
      </w:r>
      <w:r>
        <w:rPr>
          <w:sz w:val="20"/>
          <w:szCs w:val="20"/>
        </w:rPr>
        <w:t xml:space="preserve"> For example,</w:t>
      </w:r>
      <w:r w:rsidRPr="00B838CA">
        <w:rPr>
          <w:sz w:val="20"/>
          <w:szCs w:val="20"/>
        </w:rPr>
        <w:t xml:space="preserve"> for January the average load level was about 550 and the wind generation was 575.  </w:t>
      </w:r>
      <w:r>
        <w:rPr>
          <w:sz w:val="20"/>
          <w:szCs w:val="20"/>
        </w:rPr>
        <w:t xml:space="preserve">The figure below shows similar results for July.  </w:t>
      </w:r>
      <w:r w:rsidRPr="00B838CA">
        <w:rPr>
          <w:sz w:val="20"/>
          <w:szCs w:val="20"/>
        </w:rPr>
        <w:t>The frequency of data points can be used to give an indication of the probability of meeting or exceeding loads with wind generation over the month.</w:t>
      </w:r>
    </w:p>
    <w:p w:rsidR="00FF5E4C" w:rsidRPr="00B838CA" w:rsidRDefault="00FF5E4C" w:rsidP="00B838CA">
      <w:pPr>
        <w:pStyle w:val="NoSpacing"/>
        <w:jc w:val="both"/>
        <w:rPr>
          <w:sz w:val="20"/>
          <w:szCs w:val="20"/>
        </w:rPr>
      </w:pPr>
    </w:p>
    <w:p w:rsidR="00FF5E4C" w:rsidRPr="00471A79" w:rsidRDefault="00FF5E4C" w:rsidP="00492C34">
      <w:pPr>
        <w:rPr>
          <w:rFonts w:cs="Calibri"/>
          <w:sz w:val="20"/>
          <w:szCs w:val="20"/>
        </w:rPr>
      </w:pPr>
      <w:r w:rsidRPr="0007596D">
        <w:rPr>
          <w:rFonts w:cs="Calibri"/>
          <w:noProof/>
          <w:sz w:val="20"/>
          <w:szCs w:val="20"/>
        </w:rPr>
        <w:pict>
          <v:shape id="Picture 40" o:spid="_x0000_i1038" type="#_x0000_t75" style="width:306pt;height:3in;visibility:visible">
            <v:imagedata r:id="rId26" o:title=""/>
          </v:shape>
        </w:pict>
      </w:r>
    </w:p>
    <w:p w:rsidR="00FF5E4C" w:rsidRPr="00900D88" w:rsidRDefault="00FF5E4C" w:rsidP="00900D88">
      <w:pPr>
        <w:pStyle w:val="NoSpacing"/>
        <w:jc w:val="both"/>
        <w:rPr>
          <w:sz w:val="20"/>
          <w:szCs w:val="20"/>
        </w:rPr>
      </w:pPr>
      <w:r w:rsidRPr="00E26FE8">
        <w:rPr>
          <w:b/>
          <w:sz w:val="20"/>
          <w:szCs w:val="20"/>
          <w:u w:val="single"/>
        </w:rPr>
        <w:t>Conclusion:</w:t>
      </w:r>
      <w:r w:rsidRPr="00900D88">
        <w:rPr>
          <w:sz w:val="20"/>
          <w:szCs w:val="20"/>
        </w:rPr>
        <w:t xml:space="preserve"> A review of the 12 months indicates that only 2 of the 12 months had energy generated by wind equal to or more than load requirements.  Many of the months had little or no wind generation as the minimum generation.  Using a loss of load probability type of analysis, </w:t>
      </w:r>
      <w:r>
        <w:rPr>
          <w:sz w:val="20"/>
          <w:szCs w:val="20"/>
        </w:rPr>
        <w:t>the study</w:t>
      </w:r>
      <w:r w:rsidRPr="00900D88">
        <w:rPr>
          <w:sz w:val="20"/>
          <w:szCs w:val="20"/>
        </w:rPr>
        <w:t xml:space="preserve"> calculated that for </w:t>
      </w:r>
      <w:r>
        <w:rPr>
          <w:sz w:val="20"/>
          <w:szCs w:val="20"/>
        </w:rPr>
        <w:t>the</w:t>
      </w:r>
      <w:r w:rsidRPr="00900D88">
        <w:rPr>
          <w:sz w:val="20"/>
          <w:szCs w:val="20"/>
        </w:rPr>
        <w:t xml:space="preserve"> hypothetical year </w:t>
      </w:r>
      <w:r>
        <w:rPr>
          <w:sz w:val="20"/>
          <w:szCs w:val="20"/>
        </w:rPr>
        <w:t>Idaho</w:t>
      </w:r>
      <w:r w:rsidRPr="00900D88">
        <w:rPr>
          <w:sz w:val="20"/>
          <w:szCs w:val="20"/>
        </w:rPr>
        <w:t xml:space="preserve"> would need to add an additional 970 MW of fast responding dispatchable supplemental generation in addition to the 1000 MW of wind to meet a load increase of 1000 MW with a one in ten year standard LOLE and to meet reliability standards.  The additional generation would not only be needed for regulation and load following but also for energy requirements during many of the months.  </w:t>
      </w:r>
    </w:p>
    <w:p w:rsidR="00FF5E4C" w:rsidRPr="00900D88" w:rsidRDefault="00FF5E4C" w:rsidP="00900D88">
      <w:pPr>
        <w:pStyle w:val="NoSpacing"/>
        <w:jc w:val="both"/>
        <w:rPr>
          <w:sz w:val="20"/>
          <w:szCs w:val="20"/>
        </w:rPr>
      </w:pPr>
    </w:p>
    <w:p w:rsidR="00FF5E4C" w:rsidRPr="00900D88" w:rsidRDefault="00FF5E4C" w:rsidP="00900D88">
      <w:pPr>
        <w:pStyle w:val="NoSpacing"/>
        <w:jc w:val="both"/>
        <w:rPr>
          <w:sz w:val="20"/>
          <w:szCs w:val="20"/>
        </w:rPr>
      </w:pPr>
      <w:r>
        <w:rPr>
          <w:sz w:val="20"/>
          <w:szCs w:val="20"/>
        </w:rPr>
        <w:t>The</w:t>
      </w:r>
      <w:r w:rsidRPr="00900D88">
        <w:rPr>
          <w:sz w:val="20"/>
          <w:szCs w:val="20"/>
        </w:rPr>
        <w:t xml:space="preserve"> last plot shows a duration curve type comparison of regulation requirements for (blue) the combination of load less wind and (red) load only.  It indicates that the requirements for regulation are significantly higher with wind generation added than for load only even with the diverse wind resource used.</w:t>
      </w:r>
    </w:p>
    <w:p w:rsidR="00FF5E4C" w:rsidRPr="00900D88" w:rsidRDefault="00FF5E4C" w:rsidP="00900D88">
      <w:pPr>
        <w:pStyle w:val="NoSpacing"/>
        <w:jc w:val="both"/>
        <w:rPr>
          <w:sz w:val="20"/>
          <w:szCs w:val="20"/>
        </w:rPr>
      </w:pPr>
    </w:p>
    <w:p w:rsidR="00FF5E4C" w:rsidRPr="00900D88" w:rsidRDefault="00FF5E4C" w:rsidP="00900D88">
      <w:pPr>
        <w:pStyle w:val="NoSpacing"/>
        <w:jc w:val="both"/>
        <w:rPr>
          <w:b/>
          <w:sz w:val="20"/>
          <w:szCs w:val="20"/>
          <w:u w:val="single"/>
        </w:rPr>
      </w:pPr>
      <w:r w:rsidRPr="00900D88">
        <w:rPr>
          <w:b/>
          <w:sz w:val="20"/>
          <w:szCs w:val="20"/>
          <w:u w:val="single"/>
        </w:rPr>
        <w:t>2.  Incremental 1600 MW Wind added for 1000 MW Load Increase:</w:t>
      </w:r>
    </w:p>
    <w:p w:rsidR="00FF5E4C" w:rsidRDefault="00FF5E4C" w:rsidP="00900D88">
      <w:pPr>
        <w:pStyle w:val="NoSpacing"/>
        <w:jc w:val="both"/>
        <w:rPr>
          <w:sz w:val="20"/>
          <w:szCs w:val="20"/>
        </w:rPr>
      </w:pPr>
    </w:p>
    <w:p w:rsidR="00FF5E4C" w:rsidRPr="00900D88" w:rsidRDefault="00FF5E4C" w:rsidP="00900D88">
      <w:pPr>
        <w:pStyle w:val="NoSpacing"/>
        <w:jc w:val="both"/>
        <w:rPr>
          <w:sz w:val="20"/>
          <w:szCs w:val="20"/>
        </w:rPr>
      </w:pPr>
      <w:r>
        <w:rPr>
          <w:sz w:val="20"/>
          <w:szCs w:val="20"/>
        </w:rPr>
        <w:t>Idaho</w:t>
      </w:r>
      <w:r w:rsidRPr="00900D88">
        <w:rPr>
          <w:sz w:val="20"/>
          <w:szCs w:val="20"/>
        </w:rPr>
        <w:t xml:space="preserve"> revised </w:t>
      </w:r>
      <w:r>
        <w:rPr>
          <w:sz w:val="20"/>
          <w:szCs w:val="20"/>
        </w:rPr>
        <w:t>its</w:t>
      </w:r>
      <w:r w:rsidRPr="00900D88">
        <w:rPr>
          <w:sz w:val="20"/>
          <w:szCs w:val="20"/>
        </w:rPr>
        <w:t xml:space="preserve"> model to balance the incremental increase in energy required by a 1000 MW new load with new wind energy rather than balancing equal capacities of load and wind. The result was 1,600 MW of wind was needed to serve an additional 1,000 MW of load (Idaho Power’s) to achieve an annual L and R balance.  </w:t>
      </w:r>
    </w:p>
    <w:p w:rsidR="00FF5E4C" w:rsidRPr="00900D88" w:rsidRDefault="00FF5E4C" w:rsidP="00900D88">
      <w:pPr>
        <w:pStyle w:val="NoSpacing"/>
        <w:jc w:val="both"/>
        <w:rPr>
          <w:sz w:val="20"/>
          <w:szCs w:val="20"/>
        </w:rPr>
      </w:pPr>
    </w:p>
    <w:p w:rsidR="00FF5E4C" w:rsidRPr="00900D88" w:rsidRDefault="00FF5E4C" w:rsidP="00900D88">
      <w:pPr>
        <w:pStyle w:val="NoSpacing"/>
        <w:jc w:val="both"/>
        <w:rPr>
          <w:sz w:val="20"/>
          <w:szCs w:val="20"/>
        </w:rPr>
      </w:pPr>
      <w:r>
        <w:rPr>
          <w:sz w:val="20"/>
          <w:szCs w:val="20"/>
        </w:rPr>
        <w:t>S</w:t>
      </w:r>
      <w:r w:rsidRPr="00900D88">
        <w:rPr>
          <w:sz w:val="20"/>
          <w:szCs w:val="20"/>
        </w:rPr>
        <w:t xml:space="preserve">catter plots </w:t>
      </w:r>
      <w:r>
        <w:rPr>
          <w:sz w:val="20"/>
          <w:szCs w:val="20"/>
        </w:rPr>
        <w:t xml:space="preserve">were prepared for </w:t>
      </w:r>
      <w:r w:rsidRPr="00900D88">
        <w:rPr>
          <w:sz w:val="20"/>
          <w:szCs w:val="20"/>
        </w:rPr>
        <w:t xml:space="preserve">wind versus load on a ten-minute basis for each month of the year (2006).  </w:t>
      </w:r>
      <w:r>
        <w:rPr>
          <w:sz w:val="20"/>
          <w:szCs w:val="20"/>
        </w:rPr>
        <w:t>The study</w:t>
      </w:r>
      <w:r w:rsidRPr="00900D88">
        <w:rPr>
          <w:sz w:val="20"/>
          <w:szCs w:val="20"/>
        </w:rPr>
        <w:t xml:space="preserve"> found that there was a large variation in the character of the plots, and that there was surplus wind energy in many months including January but still deficiencies in June and July requiring supplemental energy which would therefore require supplemental generation to cover.  Below is a plot for January using 1600 MW of wind to serve 1000 MW of load</w:t>
      </w:r>
      <w:r>
        <w:rPr>
          <w:sz w:val="20"/>
          <w:szCs w:val="20"/>
        </w:rPr>
        <w:t xml:space="preserve"> followed by a similar one for July</w:t>
      </w:r>
      <w:r w:rsidRPr="00900D88">
        <w:rPr>
          <w:sz w:val="20"/>
          <w:szCs w:val="20"/>
        </w:rPr>
        <w:t>.</w:t>
      </w:r>
    </w:p>
    <w:p w:rsidR="00FF5E4C" w:rsidRDefault="00FF5E4C" w:rsidP="00492C34">
      <w:pPr>
        <w:rPr>
          <w:rFonts w:cs="Calibri"/>
          <w:noProof/>
          <w:sz w:val="20"/>
          <w:szCs w:val="20"/>
        </w:rPr>
      </w:pPr>
    </w:p>
    <w:p w:rsidR="00FF5E4C" w:rsidRDefault="00FF5E4C" w:rsidP="00492C34">
      <w:pPr>
        <w:rPr>
          <w:rFonts w:cs="Calibri"/>
          <w:noProof/>
          <w:sz w:val="20"/>
          <w:szCs w:val="20"/>
        </w:rPr>
      </w:pPr>
      <w:r w:rsidRPr="0007596D">
        <w:rPr>
          <w:rFonts w:cs="Calibri"/>
          <w:noProof/>
          <w:sz w:val="20"/>
          <w:szCs w:val="20"/>
        </w:rPr>
        <w:pict>
          <v:shape id="Picture 41" o:spid="_x0000_i1039" type="#_x0000_t75" style="width:309pt;height:213pt;visibility:visible">
            <v:imagedata r:id="rId27" o:title=""/>
          </v:shape>
        </w:pict>
      </w:r>
    </w:p>
    <w:p w:rsidR="00FF5E4C" w:rsidRDefault="00FF5E4C" w:rsidP="00492C34">
      <w:pPr>
        <w:rPr>
          <w:rFonts w:cs="Calibri"/>
          <w:noProof/>
          <w:sz w:val="20"/>
          <w:szCs w:val="20"/>
        </w:rPr>
      </w:pPr>
    </w:p>
    <w:p w:rsidR="00FF5E4C" w:rsidRPr="00471A79" w:rsidRDefault="00FF5E4C" w:rsidP="00492C34">
      <w:pPr>
        <w:rPr>
          <w:rFonts w:cs="Calibri"/>
          <w:sz w:val="20"/>
          <w:szCs w:val="20"/>
        </w:rPr>
      </w:pPr>
    </w:p>
    <w:p w:rsidR="00FF5E4C" w:rsidRPr="00A827AE" w:rsidRDefault="00FF5E4C" w:rsidP="00A827AE">
      <w:pPr>
        <w:autoSpaceDE w:val="0"/>
        <w:autoSpaceDN w:val="0"/>
        <w:adjustRightInd w:val="0"/>
        <w:rPr>
          <w:rFonts w:cs="Calibri"/>
          <w:b/>
          <w:sz w:val="20"/>
          <w:szCs w:val="20"/>
          <w:u w:val="single"/>
        </w:rPr>
      </w:pPr>
      <w:r w:rsidRPr="0007596D">
        <w:rPr>
          <w:rFonts w:cs="Calibri"/>
          <w:b/>
          <w:noProof/>
          <w:sz w:val="20"/>
          <w:szCs w:val="20"/>
          <w:u w:val="single"/>
        </w:rPr>
        <w:pict>
          <v:shape id="Picture 42" o:spid="_x0000_i1040" type="#_x0000_t75" style="width:313.5pt;height:209.25pt;visibility:visible">
            <v:imagedata r:id="rId28" o:title=""/>
          </v:shape>
        </w:pict>
      </w:r>
      <w:r>
        <w:rPr>
          <w:sz w:val="20"/>
          <w:szCs w:val="20"/>
        </w:rPr>
        <w:br w:type="page"/>
      </w:r>
      <w:r w:rsidRPr="00900D88">
        <w:rPr>
          <w:b/>
          <w:sz w:val="20"/>
          <w:szCs w:val="20"/>
          <w:u w:val="single"/>
        </w:rPr>
        <w:t>3.  Regulation Duration Curve Analysis</w:t>
      </w:r>
    </w:p>
    <w:p w:rsidR="00FF5E4C" w:rsidRPr="00900D88" w:rsidRDefault="00FF5E4C" w:rsidP="00900D88">
      <w:pPr>
        <w:pStyle w:val="NoSpacing"/>
        <w:rPr>
          <w:sz w:val="20"/>
          <w:szCs w:val="20"/>
        </w:rPr>
      </w:pPr>
      <w:r>
        <w:rPr>
          <w:sz w:val="20"/>
          <w:szCs w:val="20"/>
        </w:rPr>
        <w:t>Idaho</w:t>
      </w:r>
      <w:r w:rsidRPr="00900D88">
        <w:rPr>
          <w:sz w:val="20"/>
          <w:szCs w:val="20"/>
        </w:rPr>
        <w:t xml:space="preserve"> also prepared a </w:t>
      </w:r>
      <w:r>
        <w:rPr>
          <w:sz w:val="20"/>
          <w:szCs w:val="20"/>
        </w:rPr>
        <w:t>l</w:t>
      </w:r>
      <w:r w:rsidRPr="00900D88">
        <w:rPr>
          <w:sz w:val="20"/>
          <w:szCs w:val="20"/>
        </w:rPr>
        <w:t xml:space="preserve">oad </w:t>
      </w:r>
      <w:r>
        <w:rPr>
          <w:sz w:val="20"/>
          <w:szCs w:val="20"/>
        </w:rPr>
        <w:t>l</w:t>
      </w:r>
      <w:r w:rsidRPr="00900D88">
        <w:rPr>
          <w:sz w:val="20"/>
          <w:szCs w:val="20"/>
        </w:rPr>
        <w:t xml:space="preserve">ess </w:t>
      </w:r>
      <w:r>
        <w:rPr>
          <w:sz w:val="20"/>
          <w:szCs w:val="20"/>
        </w:rPr>
        <w:t>w</w:t>
      </w:r>
      <w:r w:rsidRPr="00900D88">
        <w:rPr>
          <w:sz w:val="20"/>
          <w:szCs w:val="20"/>
        </w:rPr>
        <w:t xml:space="preserve">ind duration curve of 10 minute regulation requirements, and duration plots of 1000 MW ramp rate in the three wind areas separately and aggregated.  </w:t>
      </w:r>
    </w:p>
    <w:p w:rsidR="00FF5E4C" w:rsidRPr="00471A79" w:rsidRDefault="00FF5E4C" w:rsidP="00492C34">
      <w:pPr>
        <w:autoSpaceDE w:val="0"/>
        <w:autoSpaceDN w:val="0"/>
        <w:adjustRightInd w:val="0"/>
        <w:rPr>
          <w:rFonts w:cs="Calibri"/>
          <w:sz w:val="20"/>
          <w:szCs w:val="20"/>
        </w:rPr>
      </w:pPr>
      <w:r w:rsidRPr="0007596D">
        <w:rPr>
          <w:rFonts w:cs="Calibri"/>
          <w:noProof/>
          <w:sz w:val="20"/>
          <w:szCs w:val="20"/>
        </w:rPr>
        <w:pict>
          <v:shape id="Picture 43" o:spid="_x0000_i1041" type="#_x0000_t75" style="width:423pt;height:284.25pt;visibility:visible">
            <v:imagedata r:id="rId29" o:title=""/>
          </v:shape>
        </w:pict>
      </w:r>
      <w:r w:rsidRPr="00471A79">
        <w:rPr>
          <w:rFonts w:cs="Calibri"/>
          <w:sz w:val="20"/>
          <w:szCs w:val="20"/>
        </w:rPr>
        <w:t xml:space="preserve"> </w:t>
      </w:r>
    </w:p>
    <w:p w:rsidR="00FF5E4C" w:rsidRPr="00471A79" w:rsidRDefault="00FF5E4C" w:rsidP="00492C34">
      <w:pPr>
        <w:autoSpaceDE w:val="0"/>
        <w:autoSpaceDN w:val="0"/>
        <w:adjustRightInd w:val="0"/>
        <w:rPr>
          <w:rFonts w:cs="Calibri"/>
          <w:sz w:val="20"/>
          <w:szCs w:val="20"/>
        </w:rPr>
      </w:pPr>
      <w:r w:rsidRPr="0007596D">
        <w:rPr>
          <w:rFonts w:cs="Calibri"/>
          <w:noProof/>
          <w:sz w:val="20"/>
          <w:szCs w:val="20"/>
        </w:rPr>
        <w:pict>
          <v:shape id="Picture 44" o:spid="_x0000_i1042" type="#_x0000_t75" style="width:399.75pt;height:276.75pt;visibility:visible">
            <v:imagedata r:id="rId30" o:title=""/>
          </v:shape>
        </w:pict>
      </w:r>
    </w:p>
    <w:p w:rsidR="00FF5E4C" w:rsidRPr="00471A79" w:rsidRDefault="00FF5E4C" w:rsidP="00492C34">
      <w:pPr>
        <w:autoSpaceDE w:val="0"/>
        <w:autoSpaceDN w:val="0"/>
        <w:adjustRightInd w:val="0"/>
        <w:rPr>
          <w:rFonts w:cs="Calibri"/>
          <w:sz w:val="20"/>
          <w:szCs w:val="20"/>
        </w:rPr>
      </w:pPr>
      <w:r w:rsidRPr="0007596D">
        <w:rPr>
          <w:rFonts w:cs="Calibri"/>
          <w:noProof/>
          <w:sz w:val="20"/>
          <w:szCs w:val="20"/>
        </w:rPr>
        <w:pict>
          <v:shape id="Picture 45" o:spid="_x0000_i1043" type="#_x0000_t75" style="width:384.75pt;height:258.75pt;visibility:visible">
            <v:imagedata r:id="rId31" o:title=""/>
          </v:shape>
        </w:pict>
      </w:r>
    </w:p>
    <w:p w:rsidR="00FF5E4C" w:rsidRPr="00900D88" w:rsidRDefault="00FF5E4C" w:rsidP="00900D88">
      <w:pPr>
        <w:pStyle w:val="NoSpacing"/>
        <w:jc w:val="both"/>
        <w:rPr>
          <w:b/>
          <w:sz w:val="20"/>
          <w:szCs w:val="20"/>
          <w:u w:val="single"/>
        </w:rPr>
      </w:pPr>
      <w:r>
        <w:rPr>
          <w:b/>
          <w:sz w:val="20"/>
          <w:szCs w:val="20"/>
          <w:u w:val="single"/>
        </w:rPr>
        <w:t>Idaho</w:t>
      </w:r>
      <w:r w:rsidRPr="00900D88">
        <w:rPr>
          <w:b/>
          <w:sz w:val="20"/>
          <w:szCs w:val="20"/>
          <w:u w:val="single"/>
        </w:rPr>
        <w:t xml:space="preserve"> concludes from these that:</w:t>
      </w:r>
    </w:p>
    <w:p w:rsidR="00FF5E4C" w:rsidRPr="00900D88" w:rsidRDefault="00FF5E4C" w:rsidP="006D5ACC">
      <w:pPr>
        <w:pStyle w:val="NoSpacing"/>
        <w:numPr>
          <w:ilvl w:val="0"/>
          <w:numId w:val="16"/>
        </w:numPr>
        <w:jc w:val="both"/>
        <w:rPr>
          <w:sz w:val="20"/>
          <w:szCs w:val="20"/>
        </w:rPr>
      </w:pPr>
      <w:r w:rsidRPr="00900D88">
        <w:rPr>
          <w:sz w:val="20"/>
          <w:szCs w:val="20"/>
        </w:rPr>
        <w:t xml:space="preserve">The net 10 min regulation requirement of </w:t>
      </w:r>
      <w:r>
        <w:rPr>
          <w:sz w:val="20"/>
          <w:szCs w:val="20"/>
        </w:rPr>
        <w:t>l</w:t>
      </w:r>
      <w:r w:rsidRPr="00900D88">
        <w:rPr>
          <w:sz w:val="20"/>
          <w:szCs w:val="20"/>
        </w:rPr>
        <w:t xml:space="preserve">oad less </w:t>
      </w:r>
      <w:r>
        <w:rPr>
          <w:sz w:val="20"/>
          <w:szCs w:val="20"/>
        </w:rPr>
        <w:t>w</w:t>
      </w:r>
      <w:r w:rsidRPr="00900D88">
        <w:rPr>
          <w:sz w:val="20"/>
          <w:szCs w:val="20"/>
        </w:rPr>
        <w:t xml:space="preserve">ind is about 4 times greater than the historical regulation requirement of just the </w:t>
      </w:r>
      <w:r>
        <w:rPr>
          <w:sz w:val="20"/>
          <w:szCs w:val="20"/>
        </w:rPr>
        <w:t>l</w:t>
      </w:r>
      <w:r w:rsidRPr="00900D88">
        <w:rPr>
          <w:sz w:val="20"/>
          <w:szCs w:val="20"/>
        </w:rPr>
        <w:t xml:space="preserve">oad alone. </w:t>
      </w:r>
    </w:p>
    <w:p w:rsidR="00FF5E4C" w:rsidRPr="00900D88" w:rsidRDefault="00FF5E4C" w:rsidP="006D5ACC">
      <w:pPr>
        <w:pStyle w:val="NoSpacing"/>
        <w:numPr>
          <w:ilvl w:val="0"/>
          <w:numId w:val="16"/>
        </w:numPr>
        <w:jc w:val="both"/>
        <w:rPr>
          <w:sz w:val="20"/>
          <w:szCs w:val="20"/>
        </w:rPr>
      </w:pPr>
      <w:r w:rsidRPr="00900D88">
        <w:rPr>
          <w:sz w:val="20"/>
          <w:szCs w:val="20"/>
        </w:rPr>
        <w:t xml:space="preserve">For a 33% RPS standard, the increased regulation requirement is about 70%. </w:t>
      </w:r>
    </w:p>
    <w:p w:rsidR="00FF5E4C" w:rsidRPr="00900D88" w:rsidRDefault="00FF5E4C" w:rsidP="006D5ACC">
      <w:pPr>
        <w:pStyle w:val="NoSpacing"/>
        <w:numPr>
          <w:ilvl w:val="0"/>
          <w:numId w:val="16"/>
        </w:numPr>
        <w:jc w:val="both"/>
        <w:rPr>
          <w:sz w:val="20"/>
          <w:szCs w:val="20"/>
        </w:rPr>
      </w:pPr>
      <w:r w:rsidRPr="00900D88">
        <w:rPr>
          <w:sz w:val="20"/>
          <w:szCs w:val="20"/>
        </w:rPr>
        <w:t xml:space="preserve">Regionally diverse </w:t>
      </w:r>
      <w:r>
        <w:rPr>
          <w:sz w:val="20"/>
          <w:szCs w:val="20"/>
        </w:rPr>
        <w:t>w</w:t>
      </w:r>
      <w:r w:rsidRPr="00900D88">
        <w:rPr>
          <w:sz w:val="20"/>
          <w:szCs w:val="20"/>
        </w:rPr>
        <w:t>ind (used above) has half the regulation requirement of an individual wind zone.</w:t>
      </w:r>
    </w:p>
    <w:p w:rsidR="00FF5E4C" w:rsidRPr="00900D88" w:rsidRDefault="00FF5E4C" w:rsidP="006D5ACC">
      <w:pPr>
        <w:pStyle w:val="NoSpacing"/>
        <w:numPr>
          <w:ilvl w:val="0"/>
          <w:numId w:val="16"/>
        </w:numPr>
        <w:jc w:val="both"/>
        <w:rPr>
          <w:sz w:val="20"/>
          <w:szCs w:val="20"/>
        </w:rPr>
      </w:pPr>
      <w:r w:rsidRPr="00900D88">
        <w:rPr>
          <w:sz w:val="20"/>
          <w:szCs w:val="20"/>
        </w:rPr>
        <w:t>Regulation is the near term issue of concern.</w:t>
      </w:r>
    </w:p>
    <w:p w:rsidR="00FF5E4C" w:rsidRPr="00900D88" w:rsidRDefault="00FF5E4C" w:rsidP="006D5ACC">
      <w:pPr>
        <w:pStyle w:val="NoSpacing"/>
        <w:numPr>
          <w:ilvl w:val="0"/>
          <w:numId w:val="16"/>
        </w:numPr>
        <w:jc w:val="both"/>
        <w:rPr>
          <w:sz w:val="20"/>
          <w:szCs w:val="20"/>
        </w:rPr>
      </w:pPr>
      <w:r w:rsidRPr="00900D88">
        <w:rPr>
          <w:sz w:val="20"/>
          <w:szCs w:val="20"/>
        </w:rPr>
        <w:t>From the prior charts, supplemental energy requirements will also have to be addressed within the next few years.</w:t>
      </w:r>
    </w:p>
    <w:p w:rsidR="00FF5E4C" w:rsidRPr="00900D88" w:rsidRDefault="00FF5E4C" w:rsidP="00900D88">
      <w:pPr>
        <w:pStyle w:val="NoSpacing"/>
        <w:jc w:val="both"/>
        <w:rPr>
          <w:sz w:val="20"/>
          <w:szCs w:val="20"/>
        </w:rPr>
      </w:pPr>
    </w:p>
    <w:p w:rsidR="00FF5E4C" w:rsidRPr="00900D88" w:rsidRDefault="00FF5E4C" w:rsidP="00900D88">
      <w:pPr>
        <w:pStyle w:val="NoSpacing"/>
        <w:jc w:val="both"/>
        <w:rPr>
          <w:b/>
          <w:sz w:val="20"/>
          <w:szCs w:val="20"/>
          <w:u w:val="single"/>
        </w:rPr>
      </w:pPr>
      <w:r w:rsidRPr="00900D88">
        <w:rPr>
          <w:b/>
          <w:sz w:val="20"/>
          <w:szCs w:val="20"/>
          <w:u w:val="single"/>
        </w:rPr>
        <w:t>Transmission, Storage and Supplemental Energy Analysis</w:t>
      </w:r>
    </w:p>
    <w:p w:rsidR="00FF5E4C" w:rsidRDefault="00FF5E4C" w:rsidP="00900D88">
      <w:pPr>
        <w:pStyle w:val="NoSpacing"/>
        <w:jc w:val="both"/>
        <w:rPr>
          <w:sz w:val="20"/>
          <w:szCs w:val="20"/>
        </w:rPr>
      </w:pPr>
    </w:p>
    <w:p w:rsidR="00FF5E4C" w:rsidRPr="00900D88" w:rsidRDefault="00FF5E4C" w:rsidP="00900D88">
      <w:pPr>
        <w:pStyle w:val="NoSpacing"/>
        <w:jc w:val="both"/>
        <w:rPr>
          <w:sz w:val="20"/>
          <w:szCs w:val="20"/>
        </w:rPr>
      </w:pPr>
      <w:r>
        <w:rPr>
          <w:sz w:val="20"/>
          <w:szCs w:val="20"/>
        </w:rPr>
        <w:t>Idaho</w:t>
      </w:r>
      <w:r w:rsidRPr="00900D88">
        <w:rPr>
          <w:sz w:val="20"/>
          <w:szCs w:val="20"/>
        </w:rPr>
        <w:t xml:space="preserve"> presented two spread sheet models to evaluate at </w:t>
      </w:r>
      <w:r>
        <w:rPr>
          <w:sz w:val="20"/>
          <w:szCs w:val="20"/>
        </w:rPr>
        <w:t xml:space="preserve">a </w:t>
      </w:r>
      <w:r w:rsidRPr="00900D88">
        <w:rPr>
          <w:sz w:val="20"/>
          <w:szCs w:val="20"/>
        </w:rPr>
        <w:t xml:space="preserve">high level the costs of different options of integrating renewables.  The models were developed to analyze the economic interaction of the cost of the wind energy and supplemental energy (including storage technologies).  These models use similar metrics for evaluating these interactions. </w:t>
      </w:r>
    </w:p>
    <w:p w:rsidR="00FF5E4C" w:rsidRPr="00900D88" w:rsidRDefault="00FF5E4C" w:rsidP="00900D88">
      <w:pPr>
        <w:pStyle w:val="NoSpacing"/>
        <w:jc w:val="both"/>
        <w:rPr>
          <w:sz w:val="20"/>
          <w:szCs w:val="20"/>
        </w:rPr>
      </w:pPr>
    </w:p>
    <w:p w:rsidR="00FF5E4C" w:rsidRDefault="00FF5E4C" w:rsidP="00900D88">
      <w:pPr>
        <w:pStyle w:val="NoSpacing"/>
        <w:jc w:val="both"/>
        <w:rPr>
          <w:sz w:val="20"/>
          <w:szCs w:val="20"/>
        </w:rPr>
      </w:pPr>
      <w:r w:rsidRPr="00900D88">
        <w:rPr>
          <w:sz w:val="20"/>
          <w:szCs w:val="20"/>
        </w:rPr>
        <w:t xml:space="preserve">The spread sheet models analyze remote wind resources bussed together with pumped storage at a remote location and then connected by transmission to a "local" bus with load and supplemental generation (gas fired generation that can provide regulation).  Using actual resource and load data, generation and storage costs, and transmission rating/costs, </w:t>
      </w:r>
      <w:r>
        <w:rPr>
          <w:sz w:val="20"/>
          <w:szCs w:val="20"/>
        </w:rPr>
        <w:t>Idaho</w:t>
      </w:r>
      <w:r w:rsidRPr="00900D88">
        <w:rPr>
          <w:sz w:val="20"/>
          <w:szCs w:val="20"/>
        </w:rPr>
        <w:t xml:space="preserve"> compared the full delivered costs of a system with various transmission (ratings and cost) and resource alternatives with Oregon or Wyoming quality wind.  Annualized cost of </w:t>
      </w:r>
      <w:r>
        <w:rPr>
          <w:sz w:val="20"/>
          <w:szCs w:val="20"/>
        </w:rPr>
        <w:t>c</w:t>
      </w:r>
      <w:r w:rsidRPr="00900D88">
        <w:rPr>
          <w:sz w:val="20"/>
          <w:szCs w:val="20"/>
        </w:rPr>
        <w:t xml:space="preserve">apital for </w:t>
      </w:r>
      <w:r>
        <w:rPr>
          <w:sz w:val="20"/>
          <w:szCs w:val="20"/>
        </w:rPr>
        <w:t>w</w:t>
      </w:r>
      <w:r w:rsidRPr="00900D88">
        <w:rPr>
          <w:sz w:val="20"/>
          <w:szCs w:val="20"/>
        </w:rPr>
        <w:t xml:space="preserve">ind, </w:t>
      </w:r>
      <w:r>
        <w:rPr>
          <w:sz w:val="20"/>
          <w:szCs w:val="20"/>
        </w:rPr>
        <w:t>s</w:t>
      </w:r>
      <w:r w:rsidRPr="00900D88">
        <w:rPr>
          <w:sz w:val="20"/>
          <w:szCs w:val="20"/>
        </w:rPr>
        <w:t xml:space="preserve">torage, </w:t>
      </w:r>
      <w:r>
        <w:rPr>
          <w:sz w:val="20"/>
          <w:szCs w:val="20"/>
        </w:rPr>
        <w:t>t</w:t>
      </w:r>
      <w:r w:rsidRPr="00900D88">
        <w:rPr>
          <w:sz w:val="20"/>
          <w:szCs w:val="20"/>
        </w:rPr>
        <w:t xml:space="preserve">ransmission and </w:t>
      </w:r>
      <w:r>
        <w:rPr>
          <w:sz w:val="20"/>
          <w:szCs w:val="20"/>
        </w:rPr>
        <w:t>s</w:t>
      </w:r>
      <w:r w:rsidRPr="00900D88">
        <w:rPr>
          <w:sz w:val="20"/>
          <w:szCs w:val="20"/>
        </w:rPr>
        <w:t xml:space="preserve">upplemental </w:t>
      </w:r>
      <w:r>
        <w:rPr>
          <w:sz w:val="20"/>
          <w:szCs w:val="20"/>
        </w:rPr>
        <w:t xml:space="preserve">energy </w:t>
      </w:r>
      <w:r w:rsidRPr="00900D88">
        <w:rPr>
          <w:sz w:val="20"/>
          <w:szCs w:val="20"/>
        </w:rPr>
        <w:t>are included</w:t>
      </w:r>
      <w:r>
        <w:rPr>
          <w:sz w:val="20"/>
          <w:szCs w:val="20"/>
        </w:rPr>
        <w:t>,</w:t>
      </w:r>
      <w:r w:rsidRPr="00900D88">
        <w:rPr>
          <w:sz w:val="20"/>
          <w:szCs w:val="20"/>
        </w:rPr>
        <w:t xml:space="preserve"> as well as the O&amp;M cost of the supplemental energy.  </w:t>
      </w:r>
      <w:r>
        <w:rPr>
          <w:sz w:val="20"/>
          <w:szCs w:val="20"/>
        </w:rPr>
        <w:t>A</w:t>
      </w:r>
      <w:r w:rsidRPr="00900D88">
        <w:rPr>
          <w:sz w:val="20"/>
          <w:szCs w:val="20"/>
        </w:rPr>
        <w:t xml:space="preserve">n annual average delivery cost </w:t>
      </w:r>
      <w:r>
        <w:rPr>
          <w:sz w:val="20"/>
          <w:szCs w:val="20"/>
        </w:rPr>
        <w:t>was computed for e</w:t>
      </w:r>
      <w:r w:rsidRPr="00900D88">
        <w:rPr>
          <w:sz w:val="20"/>
          <w:szCs w:val="20"/>
        </w:rPr>
        <w:t xml:space="preserve">ach.  </w:t>
      </w:r>
    </w:p>
    <w:p w:rsidR="00FF5E4C" w:rsidRPr="00900D88" w:rsidRDefault="00FF5E4C" w:rsidP="00900D88">
      <w:pPr>
        <w:pStyle w:val="NoSpacing"/>
        <w:jc w:val="both"/>
        <w:rPr>
          <w:sz w:val="20"/>
          <w:szCs w:val="20"/>
        </w:rPr>
      </w:pPr>
    </w:p>
    <w:p w:rsidR="00FF5E4C" w:rsidRPr="00471A79" w:rsidRDefault="00FF5E4C" w:rsidP="00492C34">
      <w:pPr>
        <w:autoSpaceDE w:val="0"/>
        <w:autoSpaceDN w:val="0"/>
        <w:adjustRightInd w:val="0"/>
        <w:ind w:right="-900"/>
        <w:rPr>
          <w:rFonts w:cs="Calibri"/>
          <w:sz w:val="20"/>
          <w:szCs w:val="20"/>
        </w:rPr>
      </w:pPr>
      <w:r w:rsidRPr="0007596D">
        <w:rPr>
          <w:rFonts w:cs="Calibri"/>
          <w:noProof/>
          <w:sz w:val="20"/>
          <w:szCs w:val="20"/>
        </w:rPr>
        <w:pict>
          <v:shape id="Picture 46" o:spid="_x0000_i1044" type="#_x0000_t75" style="width:306pt;height:90pt;visibility:visible">
            <v:imagedata r:id="rId32" o:title="" croptop="15181f"/>
          </v:shape>
        </w:pict>
      </w:r>
    </w:p>
    <w:p w:rsidR="00FF5E4C" w:rsidRPr="00900D88" w:rsidRDefault="00FF5E4C" w:rsidP="00900D88">
      <w:pPr>
        <w:pStyle w:val="NoSpacing"/>
        <w:jc w:val="both"/>
        <w:rPr>
          <w:b/>
          <w:sz w:val="20"/>
          <w:szCs w:val="20"/>
          <w:u w:val="single"/>
        </w:rPr>
      </w:pPr>
      <w:r w:rsidRPr="00900D88">
        <w:rPr>
          <w:b/>
          <w:sz w:val="20"/>
          <w:szCs w:val="20"/>
          <w:u w:val="single"/>
        </w:rPr>
        <w:t xml:space="preserve">Energy Content Model </w:t>
      </w:r>
    </w:p>
    <w:p w:rsidR="00FF5E4C" w:rsidRPr="00900D88" w:rsidRDefault="00FF5E4C" w:rsidP="00900D88">
      <w:pPr>
        <w:pStyle w:val="NoSpacing"/>
        <w:jc w:val="both"/>
        <w:rPr>
          <w:sz w:val="20"/>
          <w:szCs w:val="20"/>
        </w:rPr>
      </w:pPr>
      <w:r w:rsidRPr="00900D88">
        <w:rPr>
          <w:sz w:val="20"/>
          <w:szCs w:val="20"/>
        </w:rPr>
        <w:t>The Energy Content Method evaluates the hourly energy balance using develope</w:t>
      </w:r>
      <w:r>
        <w:rPr>
          <w:sz w:val="20"/>
          <w:szCs w:val="20"/>
        </w:rPr>
        <w:t>d duration curves.  The method</w:t>
      </w:r>
      <w:r w:rsidRPr="00900D88">
        <w:rPr>
          <w:sz w:val="20"/>
          <w:szCs w:val="20"/>
        </w:rPr>
        <w:t>:</w:t>
      </w:r>
    </w:p>
    <w:p w:rsidR="00FF5E4C" w:rsidRPr="00900D88" w:rsidRDefault="00FF5E4C" w:rsidP="00900D88">
      <w:pPr>
        <w:pStyle w:val="NoSpacing"/>
        <w:jc w:val="both"/>
        <w:rPr>
          <w:sz w:val="20"/>
          <w:szCs w:val="20"/>
        </w:rPr>
      </w:pPr>
      <w:r w:rsidRPr="00900D88">
        <w:rPr>
          <w:sz w:val="20"/>
          <w:szCs w:val="20"/>
        </w:rPr>
        <w:t xml:space="preserve">– </w:t>
      </w:r>
      <w:r>
        <w:rPr>
          <w:sz w:val="20"/>
          <w:szCs w:val="20"/>
        </w:rPr>
        <w:t>Is f</w:t>
      </w:r>
      <w:r w:rsidRPr="00900D88">
        <w:rPr>
          <w:sz w:val="20"/>
          <w:szCs w:val="20"/>
        </w:rPr>
        <w:t>ast</w:t>
      </w:r>
    </w:p>
    <w:p w:rsidR="00FF5E4C" w:rsidRPr="00900D88" w:rsidRDefault="00FF5E4C" w:rsidP="00900D88">
      <w:pPr>
        <w:pStyle w:val="NoSpacing"/>
        <w:jc w:val="both"/>
        <w:rPr>
          <w:sz w:val="20"/>
          <w:szCs w:val="20"/>
        </w:rPr>
      </w:pPr>
      <w:r w:rsidRPr="00900D88">
        <w:rPr>
          <w:sz w:val="20"/>
          <w:szCs w:val="20"/>
        </w:rPr>
        <w:t>– Assumes:</w:t>
      </w:r>
    </w:p>
    <w:p w:rsidR="00FF5E4C" w:rsidRPr="00900D88" w:rsidRDefault="00FF5E4C" w:rsidP="00900D88">
      <w:pPr>
        <w:pStyle w:val="NoSpacing"/>
        <w:ind w:left="720"/>
        <w:jc w:val="both"/>
        <w:rPr>
          <w:sz w:val="20"/>
          <w:szCs w:val="20"/>
        </w:rPr>
      </w:pPr>
      <w:r w:rsidRPr="00900D88">
        <w:rPr>
          <w:sz w:val="20"/>
          <w:szCs w:val="20"/>
        </w:rPr>
        <w:t>• Resources are dispatchable to load.</w:t>
      </w:r>
    </w:p>
    <w:p w:rsidR="00FF5E4C" w:rsidRPr="00900D88" w:rsidRDefault="00FF5E4C" w:rsidP="00900D88">
      <w:pPr>
        <w:pStyle w:val="NoSpacing"/>
        <w:ind w:left="720"/>
        <w:jc w:val="both"/>
        <w:rPr>
          <w:sz w:val="20"/>
          <w:szCs w:val="20"/>
        </w:rPr>
      </w:pPr>
      <w:r w:rsidRPr="00900D88">
        <w:rPr>
          <w:sz w:val="20"/>
          <w:szCs w:val="20"/>
        </w:rPr>
        <w:t>• Flat Annual Market Price.</w:t>
      </w:r>
    </w:p>
    <w:p w:rsidR="00FF5E4C" w:rsidRPr="00900D88" w:rsidRDefault="00FF5E4C" w:rsidP="00900D88">
      <w:pPr>
        <w:pStyle w:val="NoSpacing"/>
        <w:ind w:left="720"/>
        <w:jc w:val="both"/>
        <w:rPr>
          <w:sz w:val="20"/>
          <w:szCs w:val="20"/>
        </w:rPr>
      </w:pPr>
      <w:r w:rsidRPr="00900D88">
        <w:rPr>
          <w:sz w:val="20"/>
          <w:szCs w:val="20"/>
        </w:rPr>
        <w:t>• Storage equal to curtailment energy</w:t>
      </w:r>
    </w:p>
    <w:p w:rsidR="00FF5E4C" w:rsidRPr="00900D88" w:rsidRDefault="00FF5E4C" w:rsidP="00900D88">
      <w:pPr>
        <w:pStyle w:val="NoSpacing"/>
        <w:jc w:val="both"/>
        <w:rPr>
          <w:sz w:val="20"/>
          <w:szCs w:val="20"/>
        </w:rPr>
      </w:pPr>
      <w:r w:rsidRPr="00900D88">
        <w:rPr>
          <w:sz w:val="20"/>
          <w:szCs w:val="20"/>
        </w:rPr>
        <w:t xml:space="preserve">– </w:t>
      </w:r>
      <w:r>
        <w:rPr>
          <w:sz w:val="20"/>
          <w:szCs w:val="20"/>
        </w:rPr>
        <w:t>Yields s</w:t>
      </w:r>
      <w:r w:rsidRPr="00900D88">
        <w:rPr>
          <w:sz w:val="20"/>
          <w:szCs w:val="20"/>
        </w:rPr>
        <w:t>impler result analysis</w:t>
      </w:r>
    </w:p>
    <w:p w:rsidR="00FF5E4C" w:rsidRPr="00900D88" w:rsidRDefault="00FF5E4C" w:rsidP="00900D88">
      <w:pPr>
        <w:pStyle w:val="NoSpacing"/>
        <w:jc w:val="both"/>
        <w:rPr>
          <w:sz w:val="20"/>
          <w:szCs w:val="20"/>
        </w:rPr>
      </w:pPr>
    </w:p>
    <w:p w:rsidR="00FF5E4C" w:rsidRPr="00900D88" w:rsidRDefault="00FF5E4C" w:rsidP="00900D88">
      <w:pPr>
        <w:pStyle w:val="NoSpacing"/>
        <w:jc w:val="both"/>
        <w:rPr>
          <w:sz w:val="20"/>
          <w:szCs w:val="20"/>
        </w:rPr>
      </w:pPr>
      <w:r w:rsidRPr="00900D88">
        <w:rPr>
          <w:sz w:val="20"/>
          <w:szCs w:val="20"/>
        </w:rPr>
        <w:t xml:space="preserve">NREL Wind profiles from 17 zones across the Northwest (WA, OR, ID, MT and WY) area are available. Four wind zone profiles were used here and normalized wind duration curves for each were developed.  </w:t>
      </w:r>
    </w:p>
    <w:p w:rsidR="00FF5E4C" w:rsidRPr="00900D88" w:rsidRDefault="00FF5E4C" w:rsidP="00900D88">
      <w:pPr>
        <w:pStyle w:val="NoSpacing"/>
        <w:rPr>
          <w:sz w:val="20"/>
          <w:szCs w:val="20"/>
        </w:rPr>
      </w:pPr>
    </w:p>
    <w:p w:rsidR="00FF5E4C" w:rsidRPr="00471A79" w:rsidRDefault="00FF5E4C" w:rsidP="00492C34">
      <w:pPr>
        <w:autoSpaceDE w:val="0"/>
        <w:autoSpaceDN w:val="0"/>
        <w:adjustRightInd w:val="0"/>
        <w:rPr>
          <w:rFonts w:cs="Calibri"/>
          <w:sz w:val="20"/>
          <w:szCs w:val="20"/>
        </w:rPr>
      </w:pPr>
      <w:r w:rsidRPr="0007596D">
        <w:rPr>
          <w:rFonts w:cs="Calibri"/>
          <w:noProof/>
          <w:sz w:val="20"/>
          <w:szCs w:val="20"/>
        </w:rPr>
        <w:pict>
          <v:shape id="Picture 47" o:spid="_x0000_i1045" type="#_x0000_t75" style="width:440.25pt;height:260.25pt;visibility:visible">
            <v:imagedata r:id="rId33" o:title=""/>
          </v:shape>
        </w:pict>
      </w:r>
    </w:p>
    <w:p w:rsidR="00FF5E4C" w:rsidRPr="00900D88" w:rsidRDefault="00FF5E4C" w:rsidP="00900D88">
      <w:pPr>
        <w:pStyle w:val="NoSpacing"/>
        <w:rPr>
          <w:sz w:val="20"/>
          <w:szCs w:val="20"/>
        </w:rPr>
      </w:pPr>
    </w:p>
    <w:p w:rsidR="00FF5E4C" w:rsidRPr="00900D88" w:rsidRDefault="00FF5E4C" w:rsidP="00900D88">
      <w:pPr>
        <w:pStyle w:val="NoSpacing"/>
        <w:jc w:val="both"/>
        <w:rPr>
          <w:sz w:val="20"/>
          <w:szCs w:val="20"/>
        </w:rPr>
      </w:pPr>
      <w:r w:rsidRPr="00900D88">
        <w:rPr>
          <w:sz w:val="20"/>
          <w:szCs w:val="20"/>
        </w:rPr>
        <w:t xml:space="preserve">The model creates a set of curves that show average net cost of power per megawatt-hour for different thermal generation costs. It is an average energy model, and the minimums of the curves estimate the optimal amount of wind to add remotely to the system, the amount of remote pumped storage, and local supplemental generation needed to optimize the system.  </w:t>
      </w:r>
    </w:p>
    <w:p w:rsidR="00FF5E4C" w:rsidRPr="00900D88" w:rsidRDefault="00FF5E4C" w:rsidP="00900D88">
      <w:pPr>
        <w:pStyle w:val="NoSpacing"/>
        <w:jc w:val="both"/>
        <w:rPr>
          <w:sz w:val="20"/>
          <w:szCs w:val="20"/>
        </w:rPr>
      </w:pPr>
    </w:p>
    <w:p w:rsidR="00FF5E4C" w:rsidRPr="00900D88" w:rsidRDefault="00FF5E4C" w:rsidP="00900D88">
      <w:pPr>
        <w:pStyle w:val="NoSpacing"/>
        <w:jc w:val="both"/>
        <w:rPr>
          <w:sz w:val="20"/>
          <w:szCs w:val="20"/>
        </w:rPr>
      </w:pPr>
      <w:r w:rsidRPr="00900D88">
        <w:rPr>
          <w:sz w:val="20"/>
          <w:szCs w:val="20"/>
        </w:rPr>
        <w:t xml:space="preserve">In </w:t>
      </w:r>
      <w:r>
        <w:rPr>
          <w:sz w:val="20"/>
          <w:szCs w:val="20"/>
        </w:rPr>
        <w:t>the</w:t>
      </w:r>
      <w:r w:rsidRPr="00900D88">
        <w:rPr>
          <w:sz w:val="20"/>
          <w:szCs w:val="20"/>
        </w:rPr>
        <w:t xml:space="preserve"> example for a 250 MW 230 kV transmission line, the model indicates that unless supplemental generatio</w:t>
      </w:r>
      <w:r>
        <w:rPr>
          <w:sz w:val="20"/>
          <w:szCs w:val="20"/>
        </w:rPr>
        <w:t>n (gas) costs are above $60 MWh</w:t>
      </w:r>
      <w:r w:rsidRPr="00900D88">
        <w:rPr>
          <w:sz w:val="20"/>
          <w:szCs w:val="20"/>
        </w:rPr>
        <w:t xml:space="preserve"> it is better to locate wind close to load.  However it shows the need for and importance of more exact calculations and estimates of transmission costs. It is a good tool for demonstrating the relationship of remote wind, remote storage, and transmission.  </w:t>
      </w:r>
    </w:p>
    <w:p w:rsidR="00FF5E4C" w:rsidRPr="00471A79" w:rsidRDefault="00FF5E4C" w:rsidP="00492C34">
      <w:pPr>
        <w:pStyle w:val="ListParagraph"/>
        <w:ind w:left="0"/>
        <w:rPr>
          <w:rFonts w:cs="Calibri"/>
          <w:sz w:val="20"/>
          <w:szCs w:val="20"/>
        </w:rPr>
      </w:pPr>
      <w:r w:rsidRPr="0007596D">
        <w:rPr>
          <w:rFonts w:cs="Calibri"/>
          <w:noProof/>
          <w:sz w:val="20"/>
          <w:szCs w:val="20"/>
        </w:rPr>
        <w:pict>
          <v:shape id="Picture 48" o:spid="_x0000_i1046" type="#_x0000_t75" style="width:427.5pt;height:227.25pt;visibility:visible">
            <v:imagedata r:id="rId34" o:title=""/>
          </v:shape>
        </w:pict>
      </w:r>
    </w:p>
    <w:p w:rsidR="00FF5E4C" w:rsidRPr="00471A79" w:rsidRDefault="00FF5E4C" w:rsidP="00492C34">
      <w:pPr>
        <w:pStyle w:val="ListParagraph"/>
        <w:ind w:left="0"/>
        <w:rPr>
          <w:rFonts w:cs="Calibri"/>
          <w:sz w:val="20"/>
          <w:szCs w:val="20"/>
        </w:rPr>
      </w:pPr>
    </w:p>
    <w:p w:rsidR="00FF5E4C" w:rsidRPr="00900D88" w:rsidRDefault="00FF5E4C" w:rsidP="00900D88">
      <w:pPr>
        <w:pStyle w:val="NoSpacing"/>
        <w:jc w:val="both"/>
        <w:rPr>
          <w:sz w:val="20"/>
          <w:szCs w:val="20"/>
        </w:rPr>
      </w:pPr>
      <w:r w:rsidRPr="00900D88">
        <w:rPr>
          <w:sz w:val="20"/>
          <w:szCs w:val="20"/>
        </w:rPr>
        <w:t xml:space="preserve">The model does not account for within hour variations, reserves, un-served energy, or reserve violations. </w:t>
      </w:r>
    </w:p>
    <w:p w:rsidR="00FF5E4C" w:rsidRPr="00900D88" w:rsidRDefault="00FF5E4C" w:rsidP="00900D88">
      <w:pPr>
        <w:pStyle w:val="NoSpacing"/>
        <w:jc w:val="both"/>
        <w:rPr>
          <w:sz w:val="20"/>
          <w:szCs w:val="20"/>
        </w:rPr>
      </w:pPr>
    </w:p>
    <w:p w:rsidR="00FF5E4C" w:rsidRPr="00900D88" w:rsidRDefault="00FF5E4C" w:rsidP="00E26FE8">
      <w:pPr>
        <w:pStyle w:val="NoSpacing"/>
        <w:jc w:val="both"/>
        <w:rPr>
          <w:b/>
          <w:sz w:val="20"/>
          <w:szCs w:val="20"/>
          <w:u w:val="single"/>
        </w:rPr>
      </w:pPr>
      <w:r w:rsidRPr="00900D88">
        <w:rPr>
          <w:b/>
          <w:sz w:val="20"/>
          <w:szCs w:val="20"/>
          <w:u w:val="single"/>
        </w:rPr>
        <w:t>Chronological Model:</w:t>
      </w:r>
    </w:p>
    <w:p w:rsidR="00FF5E4C" w:rsidRDefault="00FF5E4C" w:rsidP="00E26FE8">
      <w:pPr>
        <w:pStyle w:val="NoSpacing"/>
        <w:jc w:val="both"/>
        <w:rPr>
          <w:sz w:val="20"/>
          <w:szCs w:val="20"/>
        </w:rPr>
      </w:pPr>
      <w:r>
        <w:rPr>
          <w:sz w:val="20"/>
          <w:szCs w:val="20"/>
        </w:rPr>
        <w:t>Idaho</w:t>
      </w:r>
      <w:r w:rsidRPr="00900D88">
        <w:rPr>
          <w:sz w:val="20"/>
          <w:szCs w:val="20"/>
        </w:rPr>
        <w:t xml:space="preserve"> developed the Chronological Model to expand the model to do sequential 10 minute time periods using actual 10 minute load and wind data for 2006. A sub-hourly production cost calculation was performed to add more detail.</w:t>
      </w:r>
    </w:p>
    <w:p w:rsidR="00FF5E4C" w:rsidRPr="00900D88" w:rsidRDefault="00FF5E4C" w:rsidP="00E26FE8">
      <w:pPr>
        <w:pStyle w:val="NoSpacing"/>
        <w:jc w:val="both"/>
        <w:rPr>
          <w:sz w:val="20"/>
          <w:szCs w:val="20"/>
        </w:rPr>
      </w:pPr>
    </w:p>
    <w:p w:rsidR="00FF5E4C" w:rsidRPr="00900D88" w:rsidRDefault="00FF5E4C" w:rsidP="00E26FE8">
      <w:pPr>
        <w:pStyle w:val="NoSpacing"/>
        <w:jc w:val="both"/>
        <w:rPr>
          <w:sz w:val="20"/>
          <w:szCs w:val="20"/>
        </w:rPr>
      </w:pPr>
      <w:r w:rsidRPr="00900D88">
        <w:rPr>
          <w:sz w:val="20"/>
          <w:szCs w:val="20"/>
        </w:rPr>
        <w:t>The Chronological Method evaluates the energy balance every 10 min interval.</w:t>
      </w:r>
    </w:p>
    <w:p w:rsidR="00FF5E4C" w:rsidRPr="00900D88" w:rsidRDefault="00FF5E4C" w:rsidP="00E26FE8">
      <w:pPr>
        <w:pStyle w:val="NoSpacing"/>
        <w:jc w:val="both"/>
        <w:rPr>
          <w:sz w:val="20"/>
          <w:szCs w:val="20"/>
        </w:rPr>
      </w:pPr>
      <w:r w:rsidRPr="00900D88">
        <w:rPr>
          <w:sz w:val="20"/>
          <w:szCs w:val="20"/>
        </w:rPr>
        <w:t>– Better estimates curtailments due to transmission or low load.</w:t>
      </w:r>
    </w:p>
    <w:p w:rsidR="00FF5E4C" w:rsidRPr="00900D88" w:rsidRDefault="00FF5E4C" w:rsidP="00E26FE8">
      <w:pPr>
        <w:pStyle w:val="NoSpacing"/>
        <w:jc w:val="both"/>
        <w:rPr>
          <w:sz w:val="20"/>
          <w:szCs w:val="20"/>
        </w:rPr>
      </w:pPr>
      <w:r w:rsidRPr="00900D88">
        <w:rPr>
          <w:sz w:val="20"/>
          <w:szCs w:val="20"/>
        </w:rPr>
        <w:t>– Includes a variable Market Price (currently HLH vs</w:t>
      </w:r>
      <w:r>
        <w:rPr>
          <w:sz w:val="20"/>
          <w:szCs w:val="20"/>
        </w:rPr>
        <w:t>.</w:t>
      </w:r>
      <w:r w:rsidRPr="00900D88">
        <w:rPr>
          <w:sz w:val="20"/>
          <w:szCs w:val="20"/>
        </w:rPr>
        <w:t xml:space="preserve"> LLH)</w:t>
      </w:r>
    </w:p>
    <w:p w:rsidR="00FF5E4C" w:rsidRPr="00900D88" w:rsidRDefault="00FF5E4C" w:rsidP="00E26FE8">
      <w:pPr>
        <w:pStyle w:val="NoSpacing"/>
        <w:jc w:val="both"/>
        <w:rPr>
          <w:sz w:val="20"/>
          <w:szCs w:val="20"/>
        </w:rPr>
      </w:pPr>
      <w:r w:rsidRPr="00900D88">
        <w:rPr>
          <w:sz w:val="20"/>
          <w:szCs w:val="20"/>
        </w:rPr>
        <w:t>– Limited storage content (Capacity and x hours)</w:t>
      </w:r>
    </w:p>
    <w:p w:rsidR="00FF5E4C" w:rsidRPr="00900D88" w:rsidRDefault="00FF5E4C" w:rsidP="00E26FE8">
      <w:pPr>
        <w:pStyle w:val="NoSpacing"/>
        <w:jc w:val="both"/>
        <w:rPr>
          <w:sz w:val="20"/>
          <w:szCs w:val="20"/>
        </w:rPr>
      </w:pPr>
      <w:r w:rsidRPr="00900D88">
        <w:rPr>
          <w:sz w:val="20"/>
          <w:szCs w:val="20"/>
        </w:rPr>
        <w:t xml:space="preserve">– Simple storage dispatch. </w:t>
      </w:r>
    </w:p>
    <w:p w:rsidR="00FF5E4C" w:rsidRPr="00900D88" w:rsidRDefault="00FF5E4C" w:rsidP="00E26FE8">
      <w:pPr>
        <w:pStyle w:val="NoSpacing"/>
        <w:ind w:left="720"/>
        <w:jc w:val="both"/>
        <w:rPr>
          <w:sz w:val="20"/>
          <w:szCs w:val="20"/>
        </w:rPr>
      </w:pPr>
      <w:r w:rsidRPr="00900D88">
        <w:rPr>
          <w:sz w:val="20"/>
          <w:szCs w:val="20"/>
        </w:rPr>
        <w:t xml:space="preserve">Dispatch until energy is gone, not price driven. </w:t>
      </w:r>
    </w:p>
    <w:p w:rsidR="00FF5E4C" w:rsidRPr="00900D88" w:rsidRDefault="00FF5E4C" w:rsidP="00E26FE8">
      <w:pPr>
        <w:pStyle w:val="NoSpacing"/>
        <w:ind w:left="720"/>
        <w:jc w:val="both"/>
        <w:rPr>
          <w:sz w:val="20"/>
          <w:szCs w:val="20"/>
        </w:rPr>
      </w:pPr>
      <w:r w:rsidRPr="00900D88">
        <w:rPr>
          <w:sz w:val="20"/>
          <w:szCs w:val="20"/>
        </w:rPr>
        <w:t>Initial storage equal to ½ capacity.</w:t>
      </w:r>
    </w:p>
    <w:p w:rsidR="00FF5E4C" w:rsidRDefault="00FF5E4C" w:rsidP="00E26FE8">
      <w:pPr>
        <w:pStyle w:val="NoSpacing"/>
        <w:jc w:val="both"/>
        <w:rPr>
          <w:sz w:val="20"/>
          <w:szCs w:val="20"/>
        </w:rPr>
      </w:pPr>
    </w:p>
    <w:p w:rsidR="00FF5E4C" w:rsidRPr="00900D88" w:rsidRDefault="00FF5E4C" w:rsidP="00E26FE8">
      <w:pPr>
        <w:pStyle w:val="NoSpacing"/>
        <w:jc w:val="both"/>
        <w:rPr>
          <w:sz w:val="20"/>
          <w:szCs w:val="20"/>
        </w:rPr>
      </w:pPr>
      <w:r>
        <w:rPr>
          <w:sz w:val="20"/>
          <w:szCs w:val="20"/>
        </w:rPr>
        <w:t>They</w:t>
      </w:r>
      <w:r w:rsidRPr="00900D88">
        <w:rPr>
          <w:sz w:val="20"/>
          <w:szCs w:val="20"/>
        </w:rPr>
        <w:t xml:space="preserve"> used the model to calculate the average cost (x-axis) versus amount of installed wind (y-axis) for combinations of transmission distance (short, moderate and long haul), for various costs and lengths of available for energy storage (e.g., pumped hydro), and for different values per MWh of the energy market (on-peak and off-peak).  </w:t>
      </w:r>
    </w:p>
    <w:p w:rsidR="00FF5E4C" w:rsidRPr="00900D88" w:rsidRDefault="00FF5E4C" w:rsidP="00900D88">
      <w:pPr>
        <w:pStyle w:val="NoSpacing"/>
        <w:rPr>
          <w:sz w:val="20"/>
          <w:szCs w:val="20"/>
        </w:rPr>
      </w:pPr>
    </w:p>
    <w:p w:rsidR="00FF5E4C" w:rsidRPr="00471A79" w:rsidRDefault="00FF5E4C" w:rsidP="00492C34">
      <w:pPr>
        <w:rPr>
          <w:rFonts w:cs="Calibri"/>
          <w:sz w:val="20"/>
          <w:szCs w:val="20"/>
        </w:rPr>
      </w:pPr>
      <w:r w:rsidRPr="0007596D">
        <w:rPr>
          <w:rFonts w:cs="Calibri"/>
          <w:noProof/>
          <w:sz w:val="20"/>
          <w:szCs w:val="20"/>
        </w:rPr>
        <w:pict>
          <v:shape id="Picture 49" o:spid="_x0000_i1047" type="#_x0000_t75" style="width:375pt;height:272.25pt;visibility:visible">
            <v:imagedata r:id="rId35" o:title=""/>
          </v:shape>
        </w:pict>
      </w:r>
    </w:p>
    <w:p w:rsidR="00FF5E4C" w:rsidRPr="00900D88" w:rsidRDefault="00FF5E4C" w:rsidP="00900D88">
      <w:pPr>
        <w:pStyle w:val="NoSpacing"/>
        <w:rPr>
          <w:b/>
          <w:sz w:val="20"/>
          <w:szCs w:val="20"/>
          <w:u w:val="single"/>
        </w:rPr>
      </w:pPr>
      <w:r w:rsidRPr="00900D88">
        <w:rPr>
          <w:b/>
          <w:sz w:val="20"/>
          <w:szCs w:val="20"/>
          <w:u w:val="single"/>
        </w:rPr>
        <w:t>Conclusions:</w:t>
      </w:r>
    </w:p>
    <w:p w:rsidR="00FF5E4C" w:rsidRPr="00900D88" w:rsidRDefault="00FF5E4C" w:rsidP="00900D88">
      <w:pPr>
        <w:pStyle w:val="NoSpacing"/>
        <w:rPr>
          <w:sz w:val="20"/>
          <w:szCs w:val="20"/>
        </w:rPr>
      </w:pPr>
      <w:r>
        <w:rPr>
          <w:sz w:val="20"/>
          <w:szCs w:val="20"/>
        </w:rPr>
        <w:t xml:space="preserve">There </w:t>
      </w:r>
      <w:r w:rsidRPr="00900D88">
        <w:rPr>
          <w:sz w:val="20"/>
          <w:szCs w:val="20"/>
        </w:rPr>
        <w:t xml:space="preserve">is little value in storage until Wind exceeds transmission/load, and </w:t>
      </w:r>
      <w:r>
        <w:rPr>
          <w:sz w:val="20"/>
          <w:szCs w:val="20"/>
        </w:rPr>
        <w:t>s</w:t>
      </w:r>
      <w:r w:rsidRPr="00900D88">
        <w:rPr>
          <w:sz w:val="20"/>
          <w:szCs w:val="20"/>
        </w:rPr>
        <w:t>upplemental prices are high.</w:t>
      </w:r>
    </w:p>
    <w:p w:rsidR="00FF5E4C" w:rsidRPr="00900D88" w:rsidRDefault="00FF5E4C" w:rsidP="00900D88">
      <w:pPr>
        <w:pStyle w:val="NoSpacing"/>
        <w:ind w:left="720"/>
        <w:rPr>
          <w:sz w:val="20"/>
          <w:szCs w:val="20"/>
        </w:rPr>
      </w:pPr>
      <w:r w:rsidRPr="00900D88">
        <w:rPr>
          <w:sz w:val="20"/>
          <w:szCs w:val="20"/>
        </w:rPr>
        <w:t>• For the assumed transmission capacities and cost, long haul transmission to good wind is less economic than shorter distances to lower quality wind.</w:t>
      </w:r>
    </w:p>
    <w:p w:rsidR="00FF5E4C" w:rsidRDefault="00FF5E4C" w:rsidP="00900D88">
      <w:pPr>
        <w:pStyle w:val="NoSpacing"/>
        <w:ind w:left="720"/>
        <w:rPr>
          <w:sz w:val="20"/>
          <w:szCs w:val="20"/>
        </w:rPr>
      </w:pPr>
      <w:r w:rsidRPr="00900D88">
        <w:rPr>
          <w:sz w:val="20"/>
          <w:szCs w:val="20"/>
        </w:rPr>
        <w:t xml:space="preserve">• </w:t>
      </w:r>
      <w:r>
        <w:rPr>
          <w:sz w:val="20"/>
          <w:szCs w:val="20"/>
        </w:rPr>
        <w:t xml:space="preserve">The value of remote storage for remote wind using </w:t>
      </w:r>
      <w:r w:rsidRPr="00900D88">
        <w:rPr>
          <w:sz w:val="20"/>
          <w:szCs w:val="20"/>
        </w:rPr>
        <w:t xml:space="preserve">the chronologic method </w:t>
      </w:r>
      <w:r>
        <w:rPr>
          <w:sz w:val="20"/>
          <w:szCs w:val="20"/>
        </w:rPr>
        <w:t xml:space="preserve">was not significant until the value of supplemental energy </w:t>
      </w:r>
      <w:r w:rsidRPr="00900D88">
        <w:rPr>
          <w:sz w:val="20"/>
          <w:szCs w:val="20"/>
        </w:rPr>
        <w:t>approaches $80/MWh (LLH wind displacing lower cost supplemental).</w:t>
      </w:r>
    </w:p>
    <w:p w:rsidR="00FF5E4C" w:rsidRDefault="00FF5E4C" w:rsidP="00900D88">
      <w:pPr>
        <w:pStyle w:val="NoSpacing"/>
        <w:ind w:left="720"/>
        <w:rPr>
          <w:sz w:val="20"/>
          <w:szCs w:val="20"/>
        </w:rPr>
      </w:pPr>
    </w:p>
    <w:p w:rsidR="00FF5E4C" w:rsidRPr="00471A79" w:rsidRDefault="00FF5E4C" w:rsidP="00492C34">
      <w:pPr>
        <w:autoSpaceDE w:val="0"/>
        <w:autoSpaceDN w:val="0"/>
        <w:adjustRightInd w:val="0"/>
        <w:rPr>
          <w:rFonts w:cs="Calibri"/>
          <w:sz w:val="20"/>
          <w:szCs w:val="20"/>
        </w:rPr>
      </w:pPr>
      <w:r w:rsidRPr="0007596D">
        <w:rPr>
          <w:rFonts w:cs="Calibri"/>
          <w:noProof/>
          <w:sz w:val="20"/>
          <w:szCs w:val="20"/>
        </w:rPr>
        <w:pict>
          <v:shape id="Picture 50" o:spid="_x0000_i1048" type="#_x0000_t75" style="width:342.75pt;height:253.5pt;visibility:visible">
            <v:imagedata r:id="rId36" o:title=""/>
          </v:shape>
        </w:pict>
      </w:r>
    </w:p>
    <w:p w:rsidR="00FF5E4C" w:rsidRPr="00266C11" w:rsidRDefault="00FF5E4C" w:rsidP="00900D88">
      <w:pPr>
        <w:pStyle w:val="NoSpacing"/>
        <w:jc w:val="both"/>
        <w:rPr>
          <w:b/>
          <w:sz w:val="20"/>
          <w:szCs w:val="20"/>
          <w:u w:val="single"/>
        </w:rPr>
      </w:pPr>
      <w:r w:rsidRPr="00266C11">
        <w:rPr>
          <w:b/>
          <w:sz w:val="20"/>
          <w:szCs w:val="20"/>
          <w:u w:val="single"/>
        </w:rPr>
        <w:t>Overall conclusions and assumptions:</w:t>
      </w:r>
    </w:p>
    <w:p w:rsidR="00FF5E4C" w:rsidRPr="00266C11" w:rsidRDefault="00FF5E4C" w:rsidP="002358C3">
      <w:pPr>
        <w:pStyle w:val="NoSpacing"/>
        <w:numPr>
          <w:ilvl w:val="0"/>
          <w:numId w:val="48"/>
        </w:numPr>
        <w:jc w:val="both"/>
        <w:rPr>
          <w:sz w:val="20"/>
          <w:szCs w:val="20"/>
        </w:rPr>
      </w:pPr>
      <w:r w:rsidRPr="00266C11">
        <w:rPr>
          <w:sz w:val="20"/>
          <w:szCs w:val="20"/>
        </w:rPr>
        <w:t>Studies were completed on the basis of adding incremental amounts of fast dispatchable new resources and new transmission to meet the requirements of new wind resources added to meet new loads.</w:t>
      </w:r>
    </w:p>
    <w:p w:rsidR="00FF5E4C" w:rsidRPr="00266C11" w:rsidRDefault="00FF5E4C" w:rsidP="00900D88">
      <w:pPr>
        <w:pStyle w:val="NoSpacing"/>
        <w:jc w:val="both"/>
        <w:rPr>
          <w:sz w:val="20"/>
          <w:szCs w:val="20"/>
        </w:rPr>
      </w:pPr>
    </w:p>
    <w:p w:rsidR="00FF5E4C" w:rsidRPr="00266C11" w:rsidRDefault="00FF5E4C" w:rsidP="002358C3">
      <w:pPr>
        <w:pStyle w:val="NoSpacing"/>
        <w:numPr>
          <w:ilvl w:val="0"/>
          <w:numId w:val="48"/>
        </w:numPr>
        <w:jc w:val="both"/>
        <w:rPr>
          <w:sz w:val="20"/>
          <w:szCs w:val="20"/>
        </w:rPr>
      </w:pPr>
      <w:r w:rsidRPr="00266C11">
        <w:rPr>
          <w:sz w:val="20"/>
          <w:szCs w:val="20"/>
        </w:rPr>
        <w:t xml:space="preserve">For the regulation, load following and supplemental analysis, optimistic diversity was assumed for the addition of wind into Idaho by using 1/3 of the amount of wind from each of the Wyoming, Montana, and OR/WA wind REZ zones. </w:t>
      </w:r>
    </w:p>
    <w:p w:rsidR="00FF5E4C" w:rsidRPr="00266C11" w:rsidRDefault="00FF5E4C" w:rsidP="00900D88">
      <w:pPr>
        <w:pStyle w:val="NoSpacing"/>
        <w:jc w:val="both"/>
        <w:rPr>
          <w:sz w:val="20"/>
          <w:szCs w:val="20"/>
        </w:rPr>
      </w:pPr>
    </w:p>
    <w:p w:rsidR="00FF5E4C" w:rsidRPr="00266C11" w:rsidRDefault="00FF5E4C" w:rsidP="002358C3">
      <w:pPr>
        <w:pStyle w:val="NoSpacing"/>
        <w:numPr>
          <w:ilvl w:val="0"/>
          <w:numId w:val="48"/>
        </w:numPr>
        <w:jc w:val="both"/>
        <w:rPr>
          <w:sz w:val="20"/>
          <w:szCs w:val="20"/>
        </w:rPr>
      </w:pPr>
      <w:r w:rsidRPr="00266C11">
        <w:rPr>
          <w:sz w:val="20"/>
          <w:szCs w:val="20"/>
        </w:rPr>
        <w:t>For wind capacity added in Idaho to match new load growth in capacity, an almost equal amount of supplemental fast dispatchable generation would be needed</w:t>
      </w:r>
      <w:r>
        <w:rPr>
          <w:sz w:val="20"/>
          <w:szCs w:val="20"/>
        </w:rPr>
        <w:t>, indicating a negligible contribution of the wind to meeting peak loads</w:t>
      </w:r>
      <w:r w:rsidRPr="00266C11">
        <w:rPr>
          <w:sz w:val="20"/>
          <w:szCs w:val="20"/>
        </w:rPr>
        <w:t>.</w:t>
      </w:r>
    </w:p>
    <w:p w:rsidR="00FF5E4C" w:rsidRPr="00266C11" w:rsidRDefault="00FF5E4C" w:rsidP="00900D88">
      <w:pPr>
        <w:pStyle w:val="NoSpacing"/>
        <w:jc w:val="both"/>
        <w:rPr>
          <w:sz w:val="20"/>
          <w:szCs w:val="20"/>
        </w:rPr>
      </w:pPr>
    </w:p>
    <w:p w:rsidR="00FF5E4C" w:rsidRPr="00266C11" w:rsidRDefault="00FF5E4C" w:rsidP="002358C3">
      <w:pPr>
        <w:pStyle w:val="NoSpacing"/>
        <w:numPr>
          <w:ilvl w:val="0"/>
          <w:numId w:val="48"/>
        </w:numPr>
        <w:jc w:val="both"/>
        <w:rPr>
          <w:color w:val="FF0000"/>
          <w:sz w:val="20"/>
          <w:szCs w:val="20"/>
        </w:rPr>
      </w:pPr>
      <w:r w:rsidRPr="00266C11">
        <w:rPr>
          <w:sz w:val="20"/>
          <w:szCs w:val="20"/>
        </w:rPr>
        <w:t>For wind additions added to meet new annual energy load increase balance, the amount of supplemental resources could be reduced in half</w:t>
      </w:r>
      <w:r>
        <w:rPr>
          <w:sz w:val="20"/>
          <w:szCs w:val="20"/>
        </w:rPr>
        <w:t>.</w:t>
      </w:r>
    </w:p>
    <w:p w:rsidR="00FF5E4C" w:rsidRPr="00266C11" w:rsidRDefault="00FF5E4C" w:rsidP="00900D88">
      <w:pPr>
        <w:pStyle w:val="NoSpacing"/>
        <w:jc w:val="both"/>
        <w:rPr>
          <w:sz w:val="20"/>
          <w:szCs w:val="20"/>
        </w:rPr>
      </w:pPr>
    </w:p>
    <w:p w:rsidR="00FF5E4C" w:rsidRPr="00266C11" w:rsidRDefault="00FF5E4C" w:rsidP="002358C3">
      <w:pPr>
        <w:pStyle w:val="NoSpacing"/>
        <w:numPr>
          <w:ilvl w:val="0"/>
          <w:numId w:val="48"/>
        </w:numPr>
        <w:jc w:val="both"/>
        <w:rPr>
          <w:rFonts w:cs="Calibri"/>
          <w:sz w:val="20"/>
          <w:szCs w:val="20"/>
        </w:rPr>
      </w:pPr>
      <w:r w:rsidRPr="00266C11">
        <w:rPr>
          <w:rFonts w:cs="Calibri"/>
          <w:sz w:val="20"/>
          <w:szCs w:val="20"/>
        </w:rPr>
        <w:t>Regulation requirements are higher (as much as 4 times higher) for the addition of wind and load than for only load.</w:t>
      </w:r>
    </w:p>
    <w:p w:rsidR="00FF5E4C" w:rsidRPr="00266C11" w:rsidRDefault="00FF5E4C" w:rsidP="00900D88">
      <w:pPr>
        <w:pStyle w:val="NoSpacing"/>
        <w:jc w:val="both"/>
        <w:rPr>
          <w:rFonts w:cs="Calibri"/>
          <w:sz w:val="20"/>
          <w:szCs w:val="20"/>
        </w:rPr>
      </w:pPr>
    </w:p>
    <w:p w:rsidR="00FF5E4C" w:rsidRPr="00266C11" w:rsidRDefault="00FF5E4C" w:rsidP="002358C3">
      <w:pPr>
        <w:pStyle w:val="NoSpacing"/>
        <w:numPr>
          <w:ilvl w:val="0"/>
          <w:numId w:val="48"/>
        </w:numPr>
        <w:jc w:val="both"/>
        <w:rPr>
          <w:rFonts w:cs="Calibri"/>
          <w:sz w:val="20"/>
          <w:szCs w:val="20"/>
        </w:rPr>
      </w:pPr>
      <w:r w:rsidRPr="00266C11">
        <w:rPr>
          <w:rFonts w:cs="Calibri"/>
          <w:sz w:val="20"/>
          <w:szCs w:val="20"/>
        </w:rPr>
        <w:t xml:space="preserve">Supplemental generation is required for L&amp;R balance even when wind is added to meet incremental load energy requirements because of the seasonal profiles of wind and lack of long period and amount of storage. </w:t>
      </w:r>
    </w:p>
    <w:p w:rsidR="00FF5E4C" w:rsidRPr="00266C11" w:rsidRDefault="00FF5E4C" w:rsidP="00900D88">
      <w:pPr>
        <w:pStyle w:val="NoSpacing"/>
        <w:jc w:val="both"/>
        <w:rPr>
          <w:rFonts w:cs="Calibri"/>
          <w:sz w:val="20"/>
          <w:szCs w:val="20"/>
        </w:rPr>
      </w:pPr>
    </w:p>
    <w:p w:rsidR="00FF5E4C" w:rsidRPr="00266C11" w:rsidRDefault="00FF5E4C" w:rsidP="002358C3">
      <w:pPr>
        <w:pStyle w:val="NoSpacing"/>
        <w:numPr>
          <w:ilvl w:val="0"/>
          <w:numId w:val="48"/>
        </w:numPr>
        <w:jc w:val="both"/>
        <w:rPr>
          <w:rFonts w:cs="Calibri"/>
          <w:sz w:val="20"/>
          <w:szCs w:val="20"/>
        </w:rPr>
      </w:pPr>
      <w:r w:rsidRPr="00266C11">
        <w:rPr>
          <w:rFonts w:cs="Calibri"/>
          <w:sz w:val="20"/>
          <w:szCs w:val="20"/>
        </w:rPr>
        <w:t>Unless supplemental energy resources or supply prices are high, long haul transmission to good wind is less economic than shorter distanced wind with less quality.</w:t>
      </w:r>
    </w:p>
    <w:p w:rsidR="00FF5E4C" w:rsidRPr="00266C11" w:rsidRDefault="00FF5E4C" w:rsidP="00900D88">
      <w:pPr>
        <w:pStyle w:val="NoSpacing"/>
        <w:jc w:val="both"/>
        <w:rPr>
          <w:rFonts w:cs="Calibri"/>
          <w:sz w:val="20"/>
          <w:szCs w:val="20"/>
        </w:rPr>
      </w:pPr>
    </w:p>
    <w:p w:rsidR="00FF5E4C" w:rsidRPr="00266C11" w:rsidRDefault="00FF5E4C" w:rsidP="002358C3">
      <w:pPr>
        <w:pStyle w:val="NoSpacing"/>
        <w:numPr>
          <w:ilvl w:val="0"/>
          <w:numId w:val="48"/>
        </w:numPr>
        <w:jc w:val="both"/>
        <w:rPr>
          <w:rFonts w:cs="Calibri"/>
          <w:sz w:val="20"/>
          <w:szCs w:val="20"/>
        </w:rPr>
      </w:pPr>
      <w:r w:rsidRPr="00266C11">
        <w:rPr>
          <w:rFonts w:cs="Calibri"/>
          <w:sz w:val="20"/>
          <w:szCs w:val="20"/>
        </w:rPr>
        <w:t xml:space="preserve">Cost comparisons are extremely dependent on specifics and detailed analysis needs to be completed.  </w:t>
      </w:r>
    </w:p>
    <w:p w:rsidR="00FF5E4C" w:rsidRDefault="00FF5E4C">
      <w:pPr>
        <w:spacing w:after="0" w:line="240" w:lineRule="auto"/>
        <w:rPr>
          <w:rFonts w:cs="Calibri"/>
          <w:b/>
          <w:bCs/>
          <w:color w:val="000000"/>
        </w:rPr>
      </w:pPr>
      <w:r w:rsidRPr="00266C11">
        <w:rPr>
          <w:rFonts w:cs="Calibri"/>
          <w:color w:val="000000"/>
          <w:sz w:val="20"/>
          <w:szCs w:val="20"/>
        </w:rPr>
        <w:br w:type="page"/>
      </w:r>
    </w:p>
    <w:p w:rsidR="00FF5E4C" w:rsidRPr="00DE737F" w:rsidRDefault="00FF5E4C" w:rsidP="00DE737F">
      <w:pPr>
        <w:pStyle w:val="Heading2"/>
        <w:rPr>
          <w:rFonts w:ascii="Calibri" w:hAnsi="Calibri" w:cs="Calibri"/>
          <w:color w:val="000000"/>
          <w:sz w:val="22"/>
          <w:szCs w:val="22"/>
        </w:rPr>
      </w:pPr>
      <w:bookmarkStart w:id="9" w:name="_Toc260752700"/>
      <w:r>
        <w:rPr>
          <w:rFonts w:ascii="Calibri" w:hAnsi="Calibri" w:cs="Calibri"/>
          <w:color w:val="000000"/>
          <w:sz w:val="22"/>
          <w:szCs w:val="22"/>
        </w:rPr>
        <w:t xml:space="preserve">Operational Challenges </w:t>
      </w:r>
      <w:r w:rsidRPr="00DE737F">
        <w:rPr>
          <w:rFonts w:ascii="Calibri" w:hAnsi="Calibri" w:cs="Calibri"/>
          <w:color w:val="000000"/>
          <w:sz w:val="22"/>
          <w:szCs w:val="22"/>
        </w:rPr>
        <w:t xml:space="preserve">with </w:t>
      </w:r>
      <w:r>
        <w:rPr>
          <w:rFonts w:ascii="Calibri" w:hAnsi="Calibri" w:cs="Calibri"/>
          <w:color w:val="000000"/>
          <w:sz w:val="22"/>
          <w:szCs w:val="22"/>
        </w:rPr>
        <w:t xml:space="preserve">Wind </w:t>
      </w:r>
      <w:r w:rsidRPr="00DE737F">
        <w:rPr>
          <w:rFonts w:ascii="Calibri" w:hAnsi="Calibri" w:cs="Calibri"/>
          <w:color w:val="000000"/>
          <w:sz w:val="22"/>
          <w:szCs w:val="22"/>
        </w:rPr>
        <w:t>Re</w:t>
      </w:r>
      <w:r>
        <w:rPr>
          <w:rFonts w:ascii="Calibri" w:hAnsi="Calibri" w:cs="Calibri"/>
          <w:color w:val="000000"/>
          <w:sz w:val="22"/>
          <w:szCs w:val="22"/>
        </w:rPr>
        <w:t>sources</w:t>
      </w:r>
      <w:bookmarkEnd w:id="9"/>
    </w:p>
    <w:p w:rsidR="00FF5E4C" w:rsidRPr="009F3361" w:rsidRDefault="00FF5E4C" w:rsidP="00062E8E">
      <w:pPr>
        <w:pStyle w:val="NoSpacing"/>
        <w:rPr>
          <w:rFonts w:cs="Calibri"/>
          <w:color w:val="000000"/>
        </w:rPr>
      </w:pP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 xml:space="preserve">In addition to transmission access to remote wind resources, there are operational issues having to do with scheduling and balancing the variable generation when the host BA is not the sink LSE.  These are primarily driven by the discrepancy between a BA’s within-hour balancing obligation (under the current FERC OATT and NERC standards) for local wind generation and the sink LSE’s obligation to maintain sufficient generation to meet load when the wind is not blowing under peak conditions.  The latter need to maintain sufficient generation to meet loads even if the wind is not blowing, while the former need to maintain additional generation as reserves to cover the within-hour obligations they have as host BAs.  Remote BAs with relatively small local loads compared to the amount of wind generation that may be going to distant LSEs face particular problems.  </w:t>
      </w:r>
    </w:p>
    <w:p w:rsidR="00FF5E4C" w:rsidRPr="007F3A91" w:rsidRDefault="00FF5E4C" w:rsidP="007F3A91">
      <w:pPr>
        <w:pStyle w:val="NoSpacing"/>
        <w:jc w:val="both"/>
        <w:rPr>
          <w:rFonts w:cs="Calibri"/>
          <w:color w:val="000000"/>
          <w:sz w:val="20"/>
          <w:szCs w:val="20"/>
        </w:rPr>
      </w:pP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One mechanism for addressing this problem is dynamic transfers, which allow the within-hour balancing obligation to be carried by the BA with the sink load in it.  There are two NW efforts aimed at facilitating dynamic transfers.  The Joint Initiative is developing a platform (Dynamic Scheduling System, DSS) to make it relatively easy to set up dynami</w:t>
      </w:r>
      <w:r>
        <w:rPr>
          <w:rFonts w:cs="Calibri"/>
          <w:color w:val="000000"/>
          <w:sz w:val="20"/>
          <w:szCs w:val="20"/>
        </w:rPr>
        <w:t>c transfers between willing BAs.</w:t>
      </w:r>
      <w:r w:rsidRPr="007F3A91">
        <w:rPr>
          <w:rFonts w:cs="Calibri"/>
          <w:color w:val="000000"/>
          <w:sz w:val="20"/>
          <w:szCs w:val="20"/>
        </w:rPr>
        <w:t xml:space="preserve"> WIST is supporting the second, complementary effort, developing an analytical method for quickly estimating dynamic transfer limits on individual paths and evaluating those limits.  BPA has developed a methodology and applied it to example NW paths that it operates.  </w:t>
      </w:r>
    </w:p>
    <w:p w:rsidR="00FF5E4C" w:rsidRPr="007F3A91" w:rsidRDefault="00FF5E4C" w:rsidP="007F3A91">
      <w:pPr>
        <w:pStyle w:val="NoSpacing"/>
        <w:jc w:val="both"/>
        <w:rPr>
          <w:rFonts w:cs="Calibri"/>
          <w:color w:val="000000"/>
          <w:sz w:val="20"/>
          <w:szCs w:val="20"/>
        </w:rPr>
      </w:pP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BCTC performed an initial study for the British Columbia transmission system that concluded voltage regulating equipment must be added in the Vancouver, BC area. The Bonneville work indicated potential voltage control and regulating equipment over-duty, and reliability issues from frequent and large regulation and load following flow changes across systems. While some paths now have portions of their TTC reserved for dynamic schedules, the level of dynamic schedules is usually small in comparison to the total path limit and is also based on traditional schedule variations. With large amounts of wind generation and resulting regulation and load following relative to TTC transferred across paths, the question is whether or not there is a dynamic transfer limit because of voltage impacts to customers and to voltage control equipment response and limitations.</w:t>
      </w:r>
    </w:p>
    <w:p w:rsidR="00FF5E4C" w:rsidRPr="007F3A91" w:rsidRDefault="00FF5E4C" w:rsidP="00062E8E">
      <w:pPr>
        <w:pStyle w:val="NoSpacing"/>
        <w:rPr>
          <w:rFonts w:cs="Calibri"/>
          <w:color w:val="000000"/>
          <w:sz w:val="20"/>
          <w:szCs w:val="20"/>
        </w:rPr>
      </w:pPr>
    </w:p>
    <w:p w:rsidR="00FF5E4C" w:rsidRDefault="00FF5E4C" w:rsidP="00062E8E">
      <w:pPr>
        <w:pStyle w:val="NoSpacing"/>
        <w:rPr>
          <w:rFonts w:cs="Calibri"/>
          <w:color w:val="000000"/>
          <w:sz w:val="20"/>
          <w:szCs w:val="20"/>
        </w:rPr>
      </w:pPr>
      <w:r w:rsidRPr="007F3A91">
        <w:rPr>
          <w:rFonts w:cs="Calibri"/>
          <w:color w:val="000000"/>
          <w:sz w:val="20"/>
          <w:szCs w:val="20"/>
        </w:rPr>
        <w:t>The dynamic transfer limit study had three steps:</w:t>
      </w:r>
    </w:p>
    <w:p w:rsidR="00FF5E4C" w:rsidRPr="007F3A91" w:rsidRDefault="00FF5E4C" w:rsidP="00062E8E">
      <w:pPr>
        <w:pStyle w:val="NoSpacing"/>
        <w:rPr>
          <w:rFonts w:cs="Calibri"/>
          <w:color w:val="000000"/>
          <w:sz w:val="20"/>
          <w:szCs w:val="20"/>
        </w:rPr>
      </w:pPr>
    </w:p>
    <w:p w:rsidR="00FF5E4C" w:rsidRPr="007F3A91" w:rsidRDefault="00FF5E4C" w:rsidP="004044E9">
      <w:pPr>
        <w:pStyle w:val="NoSpacing"/>
        <w:numPr>
          <w:ilvl w:val="0"/>
          <w:numId w:val="35"/>
        </w:numPr>
        <w:tabs>
          <w:tab w:val="clear" w:pos="1440"/>
          <w:tab w:val="num" w:pos="1080"/>
        </w:tabs>
        <w:ind w:left="1080"/>
        <w:rPr>
          <w:rFonts w:cs="Calibri"/>
          <w:color w:val="000000"/>
          <w:sz w:val="20"/>
          <w:szCs w:val="20"/>
        </w:rPr>
      </w:pPr>
      <w:r w:rsidRPr="007F3A91">
        <w:rPr>
          <w:rFonts w:cs="Calibri"/>
          <w:color w:val="000000"/>
          <w:sz w:val="20"/>
          <w:szCs w:val="20"/>
        </w:rPr>
        <w:t>Identify wind characteristics (within-hour ramp magnitudes and frequencies) in various areas in the NW system and identify dynamic control device characteristics (regulation, voltage, RAS, etc.) as they effect flow</w:t>
      </w:r>
      <w:r>
        <w:rPr>
          <w:rFonts w:cs="Calibri"/>
          <w:color w:val="000000"/>
          <w:sz w:val="20"/>
          <w:szCs w:val="20"/>
        </w:rPr>
        <w:t xml:space="preserve"> </w:t>
      </w:r>
      <w:r w:rsidRPr="007F3A91">
        <w:rPr>
          <w:rFonts w:cs="Calibri"/>
          <w:color w:val="000000"/>
          <w:sz w:val="20"/>
          <w:szCs w:val="20"/>
        </w:rPr>
        <w:t xml:space="preserve">gates and scheduled paths </w:t>
      </w:r>
    </w:p>
    <w:p w:rsidR="00FF5E4C" w:rsidRPr="007F3A91" w:rsidRDefault="00FF5E4C" w:rsidP="004044E9">
      <w:pPr>
        <w:pStyle w:val="NoSpacing"/>
        <w:numPr>
          <w:ilvl w:val="0"/>
          <w:numId w:val="35"/>
        </w:numPr>
        <w:tabs>
          <w:tab w:val="clear" w:pos="1440"/>
          <w:tab w:val="num" w:pos="1080"/>
        </w:tabs>
        <w:ind w:left="1080"/>
        <w:rPr>
          <w:rFonts w:cs="Calibri"/>
          <w:color w:val="000000"/>
          <w:sz w:val="20"/>
          <w:szCs w:val="20"/>
        </w:rPr>
      </w:pPr>
      <w:r w:rsidRPr="007F3A91">
        <w:rPr>
          <w:rFonts w:cs="Calibri"/>
          <w:color w:val="000000"/>
          <w:sz w:val="20"/>
          <w:szCs w:val="20"/>
        </w:rPr>
        <w:t>Perform analysis on two representative flow</w:t>
      </w:r>
      <w:r>
        <w:rPr>
          <w:rFonts w:cs="Calibri"/>
          <w:color w:val="000000"/>
          <w:sz w:val="20"/>
          <w:szCs w:val="20"/>
        </w:rPr>
        <w:t xml:space="preserve"> </w:t>
      </w:r>
      <w:r w:rsidRPr="007F3A91">
        <w:rPr>
          <w:rFonts w:cs="Calibri"/>
          <w:color w:val="000000"/>
          <w:sz w:val="20"/>
          <w:szCs w:val="20"/>
        </w:rPr>
        <w:t>gates (Path 3: BC to NW and North of John Day: NOJD) to see how control devices operate within the hour in response to regulation and ancillary service requirements across these flow</w:t>
      </w:r>
      <w:r>
        <w:rPr>
          <w:rFonts w:cs="Calibri"/>
          <w:color w:val="000000"/>
          <w:sz w:val="20"/>
          <w:szCs w:val="20"/>
        </w:rPr>
        <w:t xml:space="preserve"> </w:t>
      </w:r>
      <w:r w:rsidRPr="007F3A91">
        <w:rPr>
          <w:rFonts w:cs="Calibri"/>
          <w:color w:val="000000"/>
          <w:sz w:val="20"/>
          <w:szCs w:val="20"/>
        </w:rPr>
        <w:t>gates. This includes a matrix analysis and stepped power</w:t>
      </w:r>
      <w:r>
        <w:rPr>
          <w:rFonts w:cs="Calibri"/>
          <w:color w:val="000000"/>
          <w:sz w:val="20"/>
          <w:szCs w:val="20"/>
        </w:rPr>
        <w:t xml:space="preserve"> </w:t>
      </w:r>
      <w:r w:rsidRPr="007F3A91">
        <w:rPr>
          <w:rFonts w:cs="Calibri"/>
          <w:color w:val="000000"/>
          <w:sz w:val="20"/>
          <w:szCs w:val="20"/>
        </w:rPr>
        <w:t xml:space="preserve">flows to determine duty cycle and limits of control devices to keep the system reliable and within voltage limits. From the two path studies establish a methodology to analyze other paths. </w:t>
      </w:r>
    </w:p>
    <w:p w:rsidR="00FF5E4C" w:rsidRPr="007F3A91" w:rsidRDefault="00FF5E4C" w:rsidP="004044E9">
      <w:pPr>
        <w:pStyle w:val="NoSpacing"/>
        <w:numPr>
          <w:ilvl w:val="0"/>
          <w:numId w:val="35"/>
        </w:numPr>
        <w:tabs>
          <w:tab w:val="clear" w:pos="1440"/>
          <w:tab w:val="num" w:pos="1080"/>
        </w:tabs>
        <w:ind w:left="1080"/>
        <w:rPr>
          <w:rFonts w:cs="Calibri"/>
          <w:color w:val="000000"/>
          <w:sz w:val="20"/>
          <w:szCs w:val="20"/>
        </w:rPr>
      </w:pPr>
      <w:r w:rsidRPr="007F3A91">
        <w:rPr>
          <w:rFonts w:cs="Calibri"/>
          <w:color w:val="000000"/>
          <w:sz w:val="20"/>
          <w:szCs w:val="20"/>
        </w:rPr>
        <w:t>Establish criteria and dynamic limits for paths (both scheduled between and internal to Balancing Areas) to keep the system reliable. Develop a priority list of paths, analyze, and recommend any dynamic schedule limits for other and additional paths/flow</w:t>
      </w:r>
      <w:r>
        <w:rPr>
          <w:rFonts w:cs="Calibri"/>
          <w:color w:val="000000"/>
          <w:sz w:val="20"/>
          <w:szCs w:val="20"/>
        </w:rPr>
        <w:t xml:space="preserve"> </w:t>
      </w:r>
      <w:r w:rsidRPr="007F3A91">
        <w:rPr>
          <w:rFonts w:cs="Calibri"/>
          <w:color w:val="000000"/>
          <w:sz w:val="20"/>
          <w:szCs w:val="20"/>
        </w:rPr>
        <w:t xml:space="preserve">gates. </w:t>
      </w:r>
    </w:p>
    <w:p w:rsidR="00FF5E4C" w:rsidRPr="007F3A91" w:rsidRDefault="00FF5E4C" w:rsidP="00062E8E">
      <w:pPr>
        <w:pStyle w:val="NoSpacing"/>
        <w:rPr>
          <w:rFonts w:cs="Calibri"/>
          <w:color w:val="000000"/>
          <w:sz w:val="20"/>
          <w:szCs w:val="20"/>
        </w:rPr>
      </w:pPr>
    </w:p>
    <w:p w:rsidR="00FF5E4C" w:rsidRPr="007F3A91" w:rsidRDefault="00FF5E4C" w:rsidP="00062E8E">
      <w:pPr>
        <w:pStyle w:val="NoSpacing"/>
        <w:rPr>
          <w:rFonts w:cs="Calibri"/>
          <w:color w:val="000000"/>
          <w:sz w:val="20"/>
          <w:szCs w:val="20"/>
        </w:rPr>
      </w:pPr>
      <w:r w:rsidRPr="007F3A91">
        <w:rPr>
          <w:rFonts w:cs="Calibri"/>
          <w:color w:val="000000"/>
          <w:sz w:val="20"/>
          <w:szCs w:val="20"/>
        </w:rPr>
        <w:t xml:space="preserve">The initial method was to use simplifying assumptions and linearize system calculations to estimate limits.  This made the problem workable within the WIST timeline.  It produced conservative limits which </w:t>
      </w:r>
      <w:r>
        <w:rPr>
          <w:rFonts w:cs="Calibri"/>
          <w:color w:val="000000"/>
          <w:sz w:val="20"/>
          <w:szCs w:val="20"/>
        </w:rPr>
        <w:t>may need to</w:t>
      </w:r>
      <w:r w:rsidRPr="007F3A91">
        <w:rPr>
          <w:rFonts w:cs="Calibri"/>
          <w:color w:val="000000"/>
          <w:sz w:val="20"/>
          <w:szCs w:val="20"/>
        </w:rPr>
        <w:t xml:space="preserve"> be refined at a later time.  Simplifying assumptions included:</w:t>
      </w:r>
    </w:p>
    <w:p w:rsidR="00FF5E4C" w:rsidRPr="007F3A91" w:rsidRDefault="00FF5E4C" w:rsidP="00062E8E">
      <w:pPr>
        <w:pStyle w:val="NoSpacing"/>
        <w:rPr>
          <w:rFonts w:cs="Calibri"/>
          <w:color w:val="000000"/>
          <w:sz w:val="20"/>
          <w:szCs w:val="20"/>
        </w:rPr>
      </w:pPr>
    </w:p>
    <w:p w:rsidR="00FF5E4C" w:rsidRPr="007F3A91" w:rsidRDefault="00FF5E4C" w:rsidP="00DE737F">
      <w:pPr>
        <w:pStyle w:val="NoSpacing"/>
        <w:numPr>
          <w:ilvl w:val="0"/>
          <w:numId w:val="3"/>
        </w:numPr>
        <w:rPr>
          <w:rFonts w:cs="Calibri"/>
          <w:color w:val="000000"/>
          <w:sz w:val="20"/>
          <w:szCs w:val="20"/>
        </w:rPr>
      </w:pPr>
      <w:r>
        <w:rPr>
          <w:rFonts w:cs="Calibri"/>
          <w:color w:val="000000"/>
          <w:sz w:val="20"/>
          <w:szCs w:val="20"/>
        </w:rPr>
        <w:t>D</w:t>
      </w:r>
      <w:r w:rsidRPr="007F3A91">
        <w:rPr>
          <w:rFonts w:cs="Calibri"/>
          <w:color w:val="000000"/>
          <w:sz w:val="20"/>
          <w:szCs w:val="20"/>
        </w:rPr>
        <w:t>ynamic schedules allowed will not require additional dispatcher workload within the hour</w:t>
      </w:r>
    </w:p>
    <w:p w:rsidR="00FF5E4C" w:rsidRPr="007F3A91" w:rsidRDefault="00FF5E4C" w:rsidP="00DE737F">
      <w:pPr>
        <w:pStyle w:val="NoSpacing"/>
        <w:numPr>
          <w:ilvl w:val="0"/>
          <w:numId w:val="3"/>
        </w:numPr>
        <w:rPr>
          <w:rFonts w:cs="Calibri"/>
          <w:color w:val="000000"/>
          <w:sz w:val="20"/>
          <w:szCs w:val="20"/>
        </w:rPr>
      </w:pPr>
      <w:r>
        <w:rPr>
          <w:rFonts w:cs="Calibri"/>
          <w:color w:val="000000"/>
          <w:sz w:val="20"/>
          <w:szCs w:val="20"/>
        </w:rPr>
        <w:t>A</w:t>
      </w:r>
      <w:r w:rsidRPr="007F3A91">
        <w:rPr>
          <w:rFonts w:cs="Calibri"/>
          <w:color w:val="000000"/>
          <w:sz w:val="20"/>
          <w:szCs w:val="20"/>
        </w:rPr>
        <w:t xml:space="preserve"> full range ramp can occur every 4 seconds</w:t>
      </w:r>
    </w:p>
    <w:p w:rsidR="00FF5E4C" w:rsidRPr="007F3A91" w:rsidRDefault="00FF5E4C" w:rsidP="00DE737F">
      <w:pPr>
        <w:pStyle w:val="NoSpacing"/>
        <w:numPr>
          <w:ilvl w:val="0"/>
          <w:numId w:val="3"/>
        </w:numPr>
        <w:rPr>
          <w:rFonts w:cs="Calibri"/>
          <w:color w:val="000000"/>
          <w:sz w:val="20"/>
          <w:szCs w:val="20"/>
        </w:rPr>
      </w:pPr>
      <w:r>
        <w:rPr>
          <w:rFonts w:cs="Calibri"/>
          <w:color w:val="000000"/>
          <w:sz w:val="20"/>
          <w:szCs w:val="20"/>
        </w:rPr>
        <w:t>R</w:t>
      </w:r>
      <w:r w:rsidRPr="007F3A91">
        <w:rPr>
          <w:rFonts w:cs="Calibri"/>
          <w:color w:val="000000"/>
          <w:sz w:val="20"/>
          <w:szCs w:val="20"/>
        </w:rPr>
        <w:t>amps are limited to within RAS arming bandwidth</w:t>
      </w:r>
    </w:p>
    <w:p w:rsidR="00FF5E4C" w:rsidRPr="007F3A91" w:rsidRDefault="00FF5E4C" w:rsidP="00DE737F">
      <w:pPr>
        <w:pStyle w:val="NoSpacing"/>
        <w:numPr>
          <w:ilvl w:val="0"/>
          <w:numId w:val="3"/>
        </w:numPr>
        <w:rPr>
          <w:rFonts w:cs="Calibri"/>
          <w:color w:val="000000"/>
          <w:sz w:val="20"/>
          <w:szCs w:val="20"/>
        </w:rPr>
      </w:pPr>
      <w:r>
        <w:rPr>
          <w:rFonts w:cs="Calibri"/>
          <w:color w:val="000000"/>
          <w:sz w:val="20"/>
          <w:szCs w:val="20"/>
        </w:rPr>
        <w:t>V</w:t>
      </w:r>
      <w:r w:rsidRPr="007F3A91">
        <w:rPr>
          <w:rFonts w:cs="Calibri"/>
          <w:color w:val="000000"/>
          <w:sz w:val="20"/>
          <w:szCs w:val="20"/>
        </w:rPr>
        <w:t>oltage change variation allowed is +/- 5kV on the 500 kV system, +/- 2kV on the 230 kV system and +/- 1 kV on the 115 kV system, all with no manual control changes of taps or other devices (most voltage control is currently manually operated)</w:t>
      </w:r>
    </w:p>
    <w:p w:rsidR="00FF5E4C" w:rsidRPr="007F3A91" w:rsidRDefault="00FF5E4C" w:rsidP="00DE737F">
      <w:pPr>
        <w:pStyle w:val="NoSpacing"/>
        <w:numPr>
          <w:ilvl w:val="0"/>
          <w:numId w:val="3"/>
        </w:numPr>
        <w:rPr>
          <w:rFonts w:cs="Calibri"/>
          <w:color w:val="000000"/>
          <w:sz w:val="20"/>
          <w:szCs w:val="20"/>
        </w:rPr>
      </w:pPr>
      <w:r w:rsidRPr="007F3A91">
        <w:rPr>
          <w:rFonts w:cs="Calibri"/>
          <w:color w:val="000000"/>
          <w:sz w:val="20"/>
          <w:szCs w:val="20"/>
        </w:rPr>
        <w:t>No SOL violations within the hour</w:t>
      </w:r>
    </w:p>
    <w:p w:rsidR="00FF5E4C" w:rsidRDefault="00FF5E4C" w:rsidP="00DE737F">
      <w:pPr>
        <w:pStyle w:val="NoSpacing"/>
        <w:numPr>
          <w:ilvl w:val="0"/>
          <w:numId w:val="3"/>
        </w:numPr>
        <w:rPr>
          <w:rFonts w:cs="Calibri"/>
          <w:color w:val="000000"/>
          <w:sz w:val="20"/>
          <w:szCs w:val="20"/>
        </w:rPr>
      </w:pPr>
      <w:r w:rsidRPr="007F3A91">
        <w:rPr>
          <w:rFonts w:cs="Calibri"/>
          <w:color w:val="000000"/>
          <w:sz w:val="20"/>
          <w:szCs w:val="20"/>
        </w:rPr>
        <w:t>Voltage stability limits are not exceeded</w:t>
      </w:r>
    </w:p>
    <w:p w:rsidR="00FF5E4C" w:rsidRDefault="00FF5E4C" w:rsidP="00C74C4B">
      <w:pPr>
        <w:pStyle w:val="NoSpacing"/>
        <w:rPr>
          <w:rFonts w:cs="Calibri"/>
          <w:color w:val="000000"/>
          <w:sz w:val="20"/>
          <w:szCs w:val="20"/>
        </w:rPr>
      </w:pPr>
    </w:p>
    <w:p w:rsidR="00FF5E4C" w:rsidRDefault="00FF5E4C">
      <w:pPr>
        <w:pStyle w:val="NoSpacing"/>
        <w:jc w:val="both"/>
        <w:rPr>
          <w:rFonts w:cs="Calibri"/>
          <w:color w:val="000000"/>
          <w:sz w:val="20"/>
          <w:szCs w:val="20"/>
        </w:rPr>
      </w:pPr>
      <w:r>
        <w:rPr>
          <w:rFonts w:cs="Calibri"/>
          <w:color w:val="000000"/>
          <w:sz w:val="20"/>
          <w:szCs w:val="20"/>
        </w:rPr>
        <w:t xml:space="preserve">The study developed initial limits (see Report Summary below), some of which are below limits currently in use.  BPA is moving forward with a dynamic transfer capacity pilot project to further explore operating issues.  There are a number of concerns that have been raised by the study conclusions and BPA’s proposal to move forward with implementation, having to do with conservative assumptions, reconciliation of a plausible methodology with surprising results and the potentially large impact on efforts at virtual balancing area consolidation.  </w:t>
      </w:r>
    </w:p>
    <w:p w:rsidR="00FF5E4C" w:rsidRDefault="00FF5E4C">
      <w:pPr>
        <w:pStyle w:val="NoSpacing"/>
        <w:jc w:val="both"/>
        <w:rPr>
          <w:rFonts w:cs="Calibri"/>
          <w:color w:val="000000"/>
          <w:sz w:val="20"/>
          <w:szCs w:val="20"/>
        </w:rPr>
      </w:pPr>
    </w:p>
    <w:p w:rsidR="00FF5E4C" w:rsidRDefault="00FF5E4C" w:rsidP="00A61DCB">
      <w:pPr>
        <w:pStyle w:val="NoSpacing"/>
        <w:jc w:val="both"/>
        <w:rPr>
          <w:rFonts w:cs="Calibri"/>
          <w:color w:val="000000"/>
          <w:sz w:val="20"/>
          <w:szCs w:val="20"/>
        </w:rPr>
      </w:pPr>
      <w:r>
        <w:rPr>
          <w:rFonts w:cs="Calibri"/>
          <w:color w:val="000000"/>
          <w:sz w:val="20"/>
          <w:szCs w:val="20"/>
        </w:rPr>
        <w:t>Concerns include the following:</w:t>
      </w:r>
    </w:p>
    <w:p w:rsidR="00FF5E4C" w:rsidRDefault="00FF5E4C" w:rsidP="00A61DCB">
      <w:pPr>
        <w:pStyle w:val="NoSpacing"/>
        <w:jc w:val="both"/>
        <w:rPr>
          <w:rFonts w:cs="Calibri"/>
          <w:color w:val="000000"/>
          <w:sz w:val="20"/>
          <w:szCs w:val="20"/>
        </w:rPr>
      </w:pPr>
    </w:p>
    <w:p w:rsidR="00FF5E4C" w:rsidRPr="00A61DCB" w:rsidRDefault="00FF5E4C" w:rsidP="00A61DCB">
      <w:pPr>
        <w:numPr>
          <w:ilvl w:val="0"/>
          <w:numId w:val="46"/>
        </w:numPr>
        <w:spacing w:after="0" w:line="240" w:lineRule="auto"/>
        <w:rPr>
          <w:sz w:val="20"/>
          <w:szCs w:val="20"/>
        </w:rPr>
      </w:pPr>
      <w:r w:rsidRPr="00E916BE">
        <w:rPr>
          <w:sz w:val="20"/>
          <w:szCs w:val="20"/>
        </w:rPr>
        <w:t>The results seem to indicate that the method is extremely dependent on the voltage and reactive tuning of the base cases and operating point conditions. Utilities involved in several of the flow paths analyzed were not involved in tuning the cases for the operating points used and would like to investigate the specifics of the cases.</w:t>
      </w:r>
    </w:p>
    <w:p w:rsidR="00FF5E4C" w:rsidRPr="00A61DCB" w:rsidRDefault="00FF5E4C" w:rsidP="00A61DCB">
      <w:pPr>
        <w:numPr>
          <w:ilvl w:val="0"/>
          <w:numId w:val="46"/>
        </w:numPr>
        <w:spacing w:before="100" w:beforeAutospacing="1" w:after="100" w:afterAutospacing="1" w:line="240" w:lineRule="auto"/>
        <w:rPr>
          <w:sz w:val="20"/>
          <w:szCs w:val="20"/>
        </w:rPr>
      </w:pPr>
      <w:r w:rsidRPr="00E916BE">
        <w:rPr>
          <w:sz w:val="20"/>
          <w:szCs w:val="20"/>
        </w:rPr>
        <w:t>Power</w:t>
      </w:r>
      <w:r>
        <w:rPr>
          <w:sz w:val="20"/>
          <w:szCs w:val="20"/>
        </w:rPr>
        <w:t xml:space="preserve"> </w:t>
      </w:r>
      <w:r w:rsidRPr="00E916BE">
        <w:rPr>
          <w:sz w:val="20"/>
          <w:szCs w:val="20"/>
        </w:rPr>
        <w:t>flow nominal points were near TTC limits and therefore on steeper portions of the dV/d</w:t>
      </w:r>
      <w:r>
        <w:rPr>
          <w:sz w:val="20"/>
          <w:szCs w:val="20"/>
        </w:rPr>
        <w:t xml:space="preserve">t </w:t>
      </w:r>
      <w:r w:rsidRPr="00E916BE">
        <w:rPr>
          <w:sz w:val="20"/>
          <w:szCs w:val="20"/>
        </w:rPr>
        <w:t>curve which seems would give pessimistic results. Results are extremely dependent on how the dV/dt curve is linearized around the operating point. Can DT limits vary by loading level or be established based on more typical loading points.</w:t>
      </w:r>
    </w:p>
    <w:p w:rsidR="00FF5E4C" w:rsidRPr="00A61DCB" w:rsidRDefault="00FF5E4C" w:rsidP="00A61DCB">
      <w:pPr>
        <w:numPr>
          <w:ilvl w:val="0"/>
          <w:numId w:val="46"/>
        </w:numPr>
        <w:spacing w:before="100" w:beforeAutospacing="1" w:after="100" w:afterAutospacing="1" w:line="240" w:lineRule="auto"/>
        <w:rPr>
          <w:sz w:val="20"/>
          <w:szCs w:val="20"/>
        </w:rPr>
      </w:pPr>
      <w:r w:rsidRPr="00E916BE">
        <w:rPr>
          <w:sz w:val="20"/>
          <w:szCs w:val="20"/>
        </w:rPr>
        <w:t>It is not clear how phase shifter controls in the western grid were used and if so what they were holding.</w:t>
      </w:r>
    </w:p>
    <w:p w:rsidR="00FF5E4C" w:rsidRPr="00A61DCB" w:rsidRDefault="00FF5E4C" w:rsidP="00A61DCB">
      <w:pPr>
        <w:numPr>
          <w:ilvl w:val="0"/>
          <w:numId w:val="46"/>
        </w:numPr>
        <w:spacing w:before="100" w:beforeAutospacing="1" w:after="100" w:afterAutospacing="1" w:line="240" w:lineRule="auto"/>
        <w:rPr>
          <w:sz w:val="20"/>
          <w:szCs w:val="20"/>
        </w:rPr>
      </w:pPr>
      <w:r w:rsidRPr="00E916BE">
        <w:rPr>
          <w:sz w:val="20"/>
          <w:szCs w:val="20"/>
        </w:rPr>
        <w:t>It is not clear that flicker curves designed to indicate allowed voltage magnitude and frequency excursions from impulse or high rate of change variations from arc furnace and motor start operation on distribution and sub-transmission are appropriate for slower ramps from wind deviations on high voltage busses on the grid.</w:t>
      </w:r>
    </w:p>
    <w:p w:rsidR="00FF5E4C" w:rsidRPr="00A61DCB" w:rsidRDefault="00FF5E4C" w:rsidP="00A61DCB">
      <w:pPr>
        <w:numPr>
          <w:ilvl w:val="0"/>
          <w:numId w:val="46"/>
        </w:numPr>
        <w:spacing w:before="100" w:beforeAutospacing="1" w:after="100" w:afterAutospacing="1" w:line="240" w:lineRule="auto"/>
        <w:rPr>
          <w:sz w:val="20"/>
          <w:szCs w:val="20"/>
        </w:rPr>
      </w:pPr>
      <w:r w:rsidRPr="00E916BE">
        <w:rPr>
          <w:sz w:val="20"/>
          <w:szCs w:val="20"/>
        </w:rPr>
        <w:t>The report does not make clear which studies dictated and how the resultant limits were chosen.</w:t>
      </w:r>
    </w:p>
    <w:p w:rsidR="00FF5E4C" w:rsidRPr="00A61DCB" w:rsidRDefault="00FF5E4C" w:rsidP="00A61DCB">
      <w:pPr>
        <w:numPr>
          <w:ilvl w:val="0"/>
          <w:numId w:val="46"/>
        </w:numPr>
        <w:spacing w:before="100" w:beforeAutospacing="1" w:after="100" w:afterAutospacing="1" w:line="240" w:lineRule="auto"/>
        <w:rPr>
          <w:sz w:val="20"/>
          <w:szCs w:val="20"/>
        </w:rPr>
      </w:pPr>
      <w:r w:rsidRPr="00E916BE">
        <w:rPr>
          <w:sz w:val="20"/>
          <w:szCs w:val="20"/>
        </w:rPr>
        <w:t>There are questions on how flow distribution factors were applied to sub-hourly power variations.</w:t>
      </w:r>
    </w:p>
    <w:p w:rsidR="00FF5E4C" w:rsidRPr="00A61DCB" w:rsidRDefault="00FF5E4C" w:rsidP="00A61DCB">
      <w:pPr>
        <w:numPr>
          <w:ilvl w:val="0"/>
          <w:numId w:val="46"/>
        </w:numPr>
        <w:spacing w:before="100" w:beforeAutospacing="1" w:after="100" w:afterAutospacing="1" w:line="240" w:lineRule="auto"/>
        <w:rPr>
          <w:sz w:val="20"/>
          <w:szCs w:val="20"/>
        </w:rPr>
      </w:pPr>
      <w:r w:rsidRPr="00E916BE">
        <w:rPr>
          <w:sz w:val="20"/>
          <w:szCs w:val="20"/>
        </w:rPr>
        <w:t>It is not clear how the optimization routine works. Optimization of dynamic transfers over paths that are in series may unreasonably penalize the upstream paths.</w:t>
      </w:r>
    </w:p>
    <w:p w:rsidR="00FF5E4C" w:rsidRPr="00A61DCB" w:rsidRDefault="00FF5E4C" w:rsidP="00A61DCB">
      <w:pPr>
        <w:numPr>
          <w:ilvl w:val="0"/>
          <w:numId w:val="46"/>
        </w:numPr>
        <w:spacing w:before="100" w:beforeAutospacing="1" w:after="100" w:afterAutospacing="1" w:line="240" w:lineRule="auto"/>
        <w:rPr>
          <w:sz w:val="20"/>
          <w:szCs w:val="20"/>
        </w:rPr>
      </w:pPr>
      <w:r w:rsidRPr="00E916BE">
        <w:rPr>
          <w:sz w:val="20"/>
          <w:szCs w:val="20"/>
        </w:rPr>
        <w:t>It is not clear how schedulers and dispatchers will apply and use the Dynamic Transfer Limits. The limits seem to change dependent on the path loadings.</w:t>
      </w:r>
    </w:p>
    <w:p w:rsidR="00FF5E4C" w:rsidRPr="00A61DCB" w:rsidRDefault="00FF5E4C" w:rsidP="00A61DCB">
      <w:pPr>
        <w:numPr>
          <w:ilvl w:val="0"/>
          <w:numId w:val="46"/>
        </w:numPr>
        <w:spacing w:before="100" w:beforeAutospacing="1" w:after="100" w:afterAutospacing="1" w:line="240" w:lineRule="auto"/>
        <w:rPr>
          <w:sz w:val="20"/>
          <w:szCs w:val="20"/>
        </w:rPr>
      </w:pPr>
      <w:r w:rsidRPr="00E916BE">
        <w:rPr>
          <w:sz w:val="20"/>
          <w:szCs w:val="20"/>
        </w:rPr>
        <w:t>Will there be classes of DTLs? For example a higher limit for slow variations within the hour, and a more stringent limit for wind variations.</w:t>
      </w:r>
    </w:p>
    <w:p w:rsidR="00FF5E4C" w:rsidRDefault="00FF5E4C">
      <w:pPr>
        <w:numPr>
          <w:ilvl w:val="0"/>
          <w:numId w:val="46"/>
        </w:numPr>
        <w:spacing w:before="100" w:beforeAutospacing="1" w:after="100" w:afterAutospacing="1" w:line="240" w:lineRule="auto"/>
        <w:rPr>
          <w:rFonts w:ascii="Verdana" w:hAnsi="Verdana"/>
          <w:sz w:val="20"/>
          <w:szCs w:val="20"/>
        </w:rPr>
      </w:pPr>
      <w:r w:rsidRPr="00E916BE">
        <w:rPr>
          <w:sz w:val="20"/>
          <w:szCs w:val="20"/>
        </w:rPr>
        <w:t xml:space="preserve">How are the factors for </w:t>
      </w:r>
      <w:r>
        <w:rPr>
          <w:sz w:val="20"/>
          <w:szCs w:val="20"/>
        </w:rPr>
        <w:t>h</w:t>
      </w:r>
      <w:r w:rsidRPr="00E916BE">
        <w:rPr>
          <w:sz w:val="20"/>
          <w:szCs w:val="20"/>
        </w:rPr>
        <w:t xml:space="preserve">istoric </w:t>
      </w:r>
      <w:r>
        <w:rPr>
          <w:sz w:val="20"/>
          <w:szCs w:val="20"/>
        </w:rPr>
        <w:t>u</w:t>
      </w:r>
      <w:r w:rsidRPr="00E916BE">
        <w:rPr>
          <w:sz w:val="20"/>
          <w:szCs w:val="20"/>
        </w:rPr>
        <w:t>se determined? Do they include existing dynamic schedules</w:t>
      </w:r>
      <w:r>
        <w:rPr>
          <w:sz w:val="20"/>
          <w:szCs w:val="20"/>
        </w:rPr>
        <w:t>?</w:t>
      </w:r>
      <w:r w:rsidRPr="00A61DCB">
        <w:rPr>
          <w:rFonts w:ascii="Verdana" w:hAnsi="Verdana"/>
          <w:sz w:val="20"/>
          <w:szCs w:val="20"/>
        </w:rPr>
        <w:t xml:space="preserve"> </w:t>
      </w:r>
    </w:p>
    <w:p w:rsidR="00FF5E4C" w:rsidRPr="007F3A91" w:rsidRDefault="00FF5E4C" w:rsidP="00062E8E">
      <w:pPr>
        <w:pStyle w:val="NoSpacing"/>
        <w:rPr>
          <w:rFonts w:cs="Calibri"/>
          <w:color w:val="000000"/>
          <w:sz w:val="20"/>
          <w:szCs w:val="20"/>
        </w:rPr>
      </w:pPr>
    </w:p>
    <w:p w:rsidR="00FF5E4C" w:rsidRPr="007F3A91" w:rsidRDefault="00FF5E4C" w:rsidP="00062E8E">
      <w:pPr>
        <w:pStyle w:val="NoSpacing"/>
        <w:rPr>
          <w:rFonts w:cs="Calibri"/>
          <w:b/>
          <w:color w:val="000000"/>
          <w:sz w:val="20"/>
          <w:szCs w:val="20"/>
        </w:rPr>
      </w:pPr>
      <w:r>
        <w:rPr>
          <w:rFonts w:cs="Calibri"/>
          <w:b/>
          <w:color w:val="000000"/>
          <w:sz w:val="20"/>
          <w:szCs w:val="20"/>
        </w:rPr>
        <w:br w:type="column"/>
      </w:r>
      <w:r w:rsidRPr="007F3A91">
        <w:rPr>
          <w:rFonts w:cs="Calibri"/>
          <w:b/>
          <w:color w:val="000000"/>
          <w:sz w:val="20"/>
          <w:szCs w:val="20"/>
        </w:rPr>
        <w:t xml:space="preserve">Draft Report Summary  </w:t>
      </w:r>
    </w:p>
    <w:p w:rsidR="00FF5E4C" w:rsidRPr="007F3A91" w:rsidRDefault="00FF5E4C" w:rsidP="00062E8E">
      <w:pPr>
        <w:pStyle w:val="NoSpacing"/>
        <w:rPr>
          <w:rFonts w:cs="Calibri"/>
          <w:color w:val="000000"/>
          <w:sz w:val="20"/>
          <w:szCs w:val="20"/>
        </w:rPr>
      </w:pPr>
      <w:r w:rsidRPr="007F3A91">
        <w:rPr>
          <w:rFonts w:cs="Calibri"/>
          <w:color w:val="000000"/>
          <w:sz w:val="20"/>
          <w:szCs w:val="20"/>
        </w:rPr>
        <w:t>The following has been extracted from the draft BPA report:</w:t>
      </w:r>
      <w:r w:rsidRPr="007F3A91">
        <w:rPr>
          <w:rStyle w:val="FootnoteReference"/>
          <w:rFonts w:cs="Calibri"/>
          <w:color w:val="000000"/>
          <w:sz w:val="20"/>
          <w:szCs w:val="20"/>
        </w:rPr>
        <w:footnoteReference w:id="1"/>
      </w:r>
    </w:p>
    <w:p w:rsidR="00FF5E4C" w:rsidRPr="007F3A91" w:rsidRDefault="00FF5E4C" w:rsidP="00062E8E">
      <w:pPr>
        <w:pStyle w:val="NoSpacing"/>
        <w:rPr>
          <w:rFonts w:cs="Calibri"/>
          <w:color w:val="000000"/>
          <w:sz w:val="20"/>
          <w:szCs w:val="20"/>
        </w:rPr>
      </w:pP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 xml:space="preserve">“This study evaluated transmission reliability impacts resulting from increased dynamic transfers across major PNW transmission paths and established the portion of the existing transmission capability available to accommodate dynamic transfer. Specific concerns identified in the study include the effect of rate of change on voltage management and stability, system operator workload, and switching duty for reactive elements. This study describes a methodology for assessing these factors and quantifying their effects on the transmission system. </w:t>
      </w:r>
    </w:p>
    <w:p w:rsidR="00FF5E4C" w:rsidRPr="007F3A91" w:rsidRDefault="00FF5E4C" w:rsidP="007F3A91">
      <w:pPr>
        <w:pStyle w:val="NoSpacing"/>
        <w:jc w:val="both"/>
        <w:rPr>
          <w:rFonts w:cs="Calibri"/>
          <w:color w:val="000000"/>
          <w:sz w:val="20"/>
          <w:szCs w:val="20"/>
        </w:rPr>
      </w:pP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 xml:space="preserve">Currently no established method is available in the literature to calculate Dynamic Transfer limits for multiple paths. This study proposes the use of linearization techniques to account for the effect of dynamic transfer on system voltages and optimize the problem to address simultaneous interactions. </w:t>
      </w:r>
    </w:p>
    <w:p w:rsidR="00FF5E4C" w:rsidRPr="007F3A91" w:rsidRDefault="00FF5E4C" w:rsidP="007F3A91">
      <w:pPr>
        <w:pStyle w:val="NoSpacing"/>
        <w:jc w:val="both"/>
        <w:rPr>
          <w:rFonts w:cs="Calibri"/>
          <w:color w:val="000000"/>
          <w:sz w:val="20"/>
          <w:szCs w:val="20"/>
        </w:rPr>
      </w:pP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 xml:space="preserve">Several scenarios were evaluated using the proposed techniques. The goal for this phase of the study was to establish a systematic method for determining dynamic transfer limits, and set initial dynamic transfer limits such that system operation was not significantly affected. These limits will in turn provide a baseline for determining the system improvements necessary to accommodate increased use of dynamic transfer in the future. </w:t>
      </w:r>
    </w:p>
    <w:p w:rsidR="00FF5E4C" w:rsidRPr="007F3A91" w:rsidRDefault="00FF5E4C" w:rsidP="00062E8E">
      <w:pPr>
        <w:pStyle w:val="NoSpacing"/>
        <w:rPr>
          <w:rFonts w:cs="Calibri"/>
          <w:color w:val="000000"/>
          <w:sz w:val="20"/>
          <w:szCs w:val="20"/>
        </w:rPr>
      </w:pPr>
    </w:p>
    <w:p w:rsidR="00FF5E4C" w:rsidRPr="007F3A91" w:rsidRDefault="00FF5E4C" w:rsidP="00062E8E">
      <w:pPr>
        <w:pStyle w:val="NoSpacing"/>
        <w:rPr>
          <w:rFonts w:cs="Calibri"/>
          <w:color w:val="000000"/>
          <w:sz w:val="20"/>
          <w:szCs w:val="20"/>
        </w:rPr>
      </w:pPr>
      <w:r w:rsidRPr="007F3A91">
        <w:rPr>
          <w:rFonts w:cs="Calibri"/>
          <w:color w:val="000000"/>
          <w:sz w:val="20"/>
          <w:szCs w:val="20"/>
        </w:rPr>
        <w:t xml:space="preserve">The initial dynamic transfer limits established by this study are: </w:t>
      </w:r>
    </w:p>
    <w:p w:rsidR="00FF5E4C" w:rsidRPr="007F3A91" w:rsidRDefault="00FF5E4C" w:rsidP="00062E8E">
      <w:pPr>
        <w:pStyle w:val="NoSpacing"/>
        <w:rPr>
          <w:rFonts w:cs="Calibri"/>
          <w:color w:val="000000"/>
          <w:sz w:val="20"/>
          <w:szCs w:val="20"/>
        </w:rPr>
      </w:pPr>
    </w:p>
    <w:tbl>
      <w:tblPr>
        <w:tblW w:w="0" w:type="auto"/>
        <w:tblInd w:w="1908" w:type="dxa"/>
        <w:tblBorders>
          <w:top w:val="single" w:sz="12" w:space="0" w:color="auto"/>
          <w:left w:val="single" w:sz="12" w:space="0" w:color="auto"/>
          <w:bottom w:val="single" w:sz="12" w:space="0" w:color="auto"/>
          <w:right w:val="single" w:sz="12" w:space="0" w:color="auto"/>
        </w:tblBorders>
        <w:tblLook w:val="01E0"/>
      </w:tblPr>
      <w:tblGrid>
        <w:gridCol w:w="2880"/>
        <w:gridCol w:w="3020"/>
      </w:tblGrid>
      <w:tr w:rsidR="00FF5E4C" w:rsidRPr="007F3A91" w:rsidTr="00D750E0">
        <w:tc>
          <w:tcPr>
            <w:tcW w:w="2880" w:type="dxa"/>
            <w:tcBorders>
              <w:top w:val="single" w:sz="12" w:space="0" w:color="auto"/>
              <w:bottom w:val="single" w:sz="12" w:space="0" w:color="auto"/>
              <w:right w:val="single" w:sz="12" w:space="0" w:color="auto"/>
            </w:tcBorders>
          </w:tcPr>
          <w:p w:rsidR="00FF5E4C" w:rsidRPr="00D750E0" w:rsidRDefault="00FF5E4C" w:rsidP="00062E8E">
            <w:pPr>
              <w:pStyle w:val="NoSpacing"/>
              <w:rPr>
                <w:rFonts w:cs="Calibri"/>
                <w:color w:val="000000"/>
                <w:sz w:val="18"/>
                <w:szCs w:val="18"/>
              </w:rPr>
            </w:pPr>
          </w:p>
          <w:p w:rsidR="00FF5E4C" w:rsidRPr="00D750E0" w:rsidRDefault="00FF5E4C" w:rsidP="00062E8E">
            <w:pPr>
              <w:pStyle w:val="NoSpacing"/>
              <w:rPr>
                <w:rFonts w:cs="Calibri"/>
                <w:color w:val="000000"/>
                <w:sz w:val="18"/>
                <w:szCs w:val="18"/>
              </w:rPr>
            </w:pPr>
            <w:r w:rsidRPr="00D750E0">
              <w:rPr>
                <w:rFonts w:cs="Calibri"/>
                <w:color w:val="000000"/>
                <w:sz w:val="18"/>
                <w:szCs w:val="18"/>
              </w:rPr>
              <w:t>Path Name</w:t>
            </w:r>
          </w:p>
        </w:tc>
        <w:tc>
          <w:tcPr>
            <w:tcW w:w="3020" w:type="dxa"/>
            <w:tcBorders>
              <w:top w:val="single" w:sz="12" w:space="0" w:color="auto"/>
              <w:left w:val="single" w:sz="12" w:space="0" w:color="auto"/>
              <w:bottom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Studied Dynamic Transfer Limit (May be reduced by system conditions)</w:t>
            </w:r>
          </w:p>
        </w:tc>
      </w:tr>
      <w:tr w:rsidR="00FF5E4C" w:rsidRPr="007F3A91" w:rsidTr="00D750E0">
        <w:tc>
          <w:tcPr>
            <w:tcW w:w="2880" w:type="dxa"/>
            <w:tcBorders>
              <w:top w:val="single" w:sz="12" w:space="0" w:color="auto"/>
              <w:bottom w:val="nil"/>
              <w:righ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COI</w:t>
            </w:r>
          </w:p>
        </w:tc>
        <w:tc>
          <w:tcPr>
            <w:tcW w:w="3020" w:type="dxa"/>
            <w:tcBorders>
              <w:top w:val="single" w:sz="12" w:space="0" w:color="auto"/>
              <w:lef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600 MW</w:t>
            </w:r>
          </w:p>
        </w:tc>
      </w:tr>
      <w:tr w:rsidR="00FF5E4C" w:rsidRPr="007F3A91" w:rsidTr="00D750E0">
        <w:tc>
          <w:tcPr>
            <w:tcW w:w="2880" w:type="dxa"/>
            <w:tcBorders>
              <w:top w:val="nil"/>
              <w:bottom w:val="nil"/>
              <w:righ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NW - Canada</w:t>
            </w:r>
          </w:p>
        </w:tc>
        <w:tc>
          <w:tcPr>
            <w:tcW w:w="3020" w:type="dxa"/>
            <w:tcBorders>
              <w:lef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300</w:t>
            </w:r>
          </w:p>
        </w:tc>
      </w:tr>
      <w:tr w:rsidR="00FF5E4C" w:rsidRPr="007F3A91" w:rsidTr="00D750E0">
        <w:tc>
          <w:tcPr>
            <w:tcW w:w="2880" w:type="dxa"/>
            <w:tcBorders>
              <w:top w:val="nil"/>
              <w:bottom w:val="nil"/>
              <w:righ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NW - Montana</w:t>
            </w:r>
          </w:p>
        </w:tc>
        <w:tc>
          <w:tcPr>
            <w:tcW w:w="3020" w:type="dxa"/>
            <w:tcBorders>
              <w:lef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110</w:t>
            </w:r>
          </w:p>
        </w:tc>
      </w:tr>
      <w:tr w:rsidR="00FF5E4C" w:rsidRPr="007F3A91" w:rsidTr="00D750E0">
        <w:tc>
          <w:tcPr>
            <w:tcW w:w="2880" w:type="dxa"/>
            <w:tcBorders>
              <w:top w:val="nil"/>
              <w:bottom w:val="nil"/>
              <w:righ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Idaho - NW</w:t>
            </w:r>
          </w:p>
        </w:tc>
        <w:tc>
          <w:tcPr>
            <w:tcW w:w="3020" w:type="dxa"/>
            <w:tcBorders>
              <w:lef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200</w:t>
            </w:r>
          </w:p>
        </w:tc>
      </w:tr>
      <w:tr w:rsidR="00FF5E4C" w:rsidRPr="007F3A91" w:rsidTr="00D750E0">
        <w:tc>
          <w:tcPr>
            <w:tcW w:w="2880" w:type="dxa"/>
            <w:tcBorders>
              <w:top w:val="nil"/>
              <w:bottom w:val="nil"/>
              <w:righ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North of Hanford</w:t>
            </w:r>
          </w:p>
        </w:tc>
        <w:tc>
          <w:tcPr>
            <w:tcW w:w="3020" w:type="dxa"/>
            <w:tcBorders>
              <w:lef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320</w:t>
            </w:r>
          </w:p>
        </w:tc>
      </w:tr>
      <w:tr w:rsidR="00FF5E4C" w:rsidRPr="007F3A91" w:rsidTr="00D750E0">
        <w:tc>
          <w:tcPr>
            <w:tcW w:w="2880" w:type="dxa"/>
            <w:tcBorders>
              <w:top w:val="nil"/>
              <w:bottom w:val="nil"/>
              <w:righ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North of John Day</w:t>
            </w:r>
          </w:p>
        </w:tc>
        <w:tc>
          <w:tcPr>
            <w:tcW w:w="3020" w:type="dxa"/>
            <w:tcBorders>
              <w:lef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350</w:t>
            </w:r>
          </w:p>
        </w:tc>
      </w:tr>
      <w:tr w:rsidR="00FF5E4C" w:rsidRPr="007F3A91" w:rsidTr="00D750E0">
        <w:tc>
          <w:tcPr>
            <w:tcW w:w="2880" w:type="dxa"/>
            <w:tcBorders>
              <w:top w:val="nil"/>
              <w:bottom w:val="nil"/>
              <w:righ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South of Allston</w:t>
            </w:r>
          </w:p>
        </w:tc>
        <w:tc>
          <w:tcPr>
            <w:tcW w:w="3020" w:type="dxa"/>
            <w:tcBorders>
              <w:lef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300</w:t>
            </w:r>
          </w:p>
        </w:tc>
      </w:tr>
      <w:tr w:rsidR="00FF5E4C" w:rsidRPr="007F3A91" w:rsidTr="00D750E0">
        <w:tc>
          <w:tcPr>
            <w:tcW w:w="2880" w:type="dxa"/>
            <w:tcBorders>
              <w:top w:val="nil"/>
              <w:bottom w:val="nil"/>
              <w:righ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West of Cascades - North</w:t>
            </w:r>
          </w:p>
        </w:tc>
        <w:tc>
          <w:tcPr>
            <w:tcW w:w="3020" w:type="dxa"/>
            <w:tcBorders>
              <w:lef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320</w:t>
            </w:r>
          </w:p>
        </w:tc>
      </w:tr>
      <w:tr w:rsidR="00FF5E4C" w:rsidRPr="007F3A91" w:rsidTr="00D750E0">
        <w:tc>
          <w:tcPr>
            <w:tcW w:w="2880" w:type="dxa"/>
            <w:tcBorders>
              <w:top w:val="nil"/>
              <w:bottom w:val="nil"/>
              <w:righ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West of Cascades - South</w:t>
            </w:r>
          </w:p>
        </w:tc>
        <w:tc>
          <w:tcPr>
            <w:tcW w:w="3020" w:type="dxa"/>
            <w:tcBorders>
              <w:lef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280</w:t>
            </w:r>
          </w:p>
        </w:tc>
      </w:tr>
      <w:tr w:rsidR="00FF5E4C" w:rsidRPr="007F3A91" w:rsidTr="00D750E0">
        <w:tc>
          <w:tcPr>
            <w:tcW w:w="2880" w:type="dxa"/>
            <w:tcBorders>
              <w:top w:val="nil"/>
              <w:bottom w:val="nil"/>
              <w:righ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West of McNary</w:t>
            </w:r>
          </w:p>
        </w:tc>
        <w:tc>
          <w:tcPr>
            <w:tcW w:w="3020" w:type="dxa"/>
            <w:tcBorders>
              <w:lef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150</w:t>
            </w:r>
          </w:p>
        </w:tc>
      </w:tr>
      <w:tr w:rsidR="00FF5E4C" w:rsidRPr="007F3A91" w:rsidTr="00D750E0">
        <w:tc>
          <w:tcPr>
            <w:tcW w:w="2880" w:type="dxa"/>
            <w:tcBorders>
              <w:top w:val="nil"/>
              <w:bottom w:val="single" w:sz="12" w:space="0" w:color="auto"/>
              <w:right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West of Slatt</w:t>
            </w:r>
          </w:p>
        </w:tc>
        <w:tc>
          <w:tcPr>
            <w:tcW w:w="3020" w:type="dxa"/>
            <w:tcBorders>
              <w:left w:val="single" w:sz="12" w:space="0" w:color="auto"/>
              <w:bottom w:val="single" w:sz="12" w:space="0" w:color="auto"/>
            </w:tcBorders>
          </w:tcPr>
          <w:p w:rsidR="00FF5E4C" w:rsidRPr="00D750E0" w:rsidRDefault="00FF5E4C" w:rsidP="00062E8E">
            <w:pPr>
              <w:pStyle w:val="NoSpacing"/>
              <w:rPr>
                <w:rFonts w:cs="Calibri"/>
                <w:color w:val="000000"/>
                <w:sz w:val="18"/>
                <w:szCs w:val="18"/>
              </w:rPr>
            </w:pPr>
            <w:r w:rsidRPr="00D750E0">
              <w:rPr>
                <w:rFonts w:cs="Calibri"/>
                <w:color w:val="000000"/>
                <w:sz w:val="18"/>
                <w:szCs w:val="18"/>
              </w:rPr>
              <w:t>150</w:t>
            </w:r>
          </w:p>
        </w:tc>
      </w:tr>
    </w:tbl>
    <w:p w:rsidR="00FF5E4C" w:rsidRPr="007F3A91" w:rsidRDefault="00FF5E4C" w:rsidP="00062E8E">
      <w:pPr>
        <w:pStyle w:val="NoSpacing"/>
        <w:rPr>
          <w:rFonts w:cs="Calibri"/>
          <w:color w:val="000000"/>
          <w:sz w:val="20"/>
          <w:szCs w:val="20"/>
        </w:rPr>
      </w:pP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Dynamic transfer is the means by which the electrical output of a generating resource is controlled in real-time by an entity other than the Balancing Authority in which the resource resides. While providing greater operational flexibility, it requires that adequate provisions are made for the effect of real-time variation on the transmission system. </w:t>
      </w:r>
    </w:p>
    <w:p w:rsidR="00FF5E4C" w:rsidRPr="007F3A91" w:rsidRDefault="00FF5E4C" w:rsidP="00097CBA">
      <w:pPr>
        <w:pStyle w:val="NoSpacing"/>
        <w:jc w:val="both"/>
        <w:rPr>
          <w:rFonts w:cs="Calibri"/>
          <w:color w:val="000000"/>
          <w:sz w:val="20"/>
          <w:szCs w:val="20"/>
        </w:rPr>
      </w:pP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The Dynamic Transfer Limits Study is one of five Wind Integration Team projects BPA committed to in 2009. Working in conjunction with the Columbia Grid Wind Integration Study Team, the purpose of the study was to develop a credible, quantitative methodology to assess the impacts of dynamic transfers on the BPA transmission system. </w:t>
      </w:r>
    </w:p>
    <w:p w:rsidR="00FF5E4C" w:rsidRPr="007F3A91" w:rsidRDefault="00FF5E4C" w:rsidP="00097CBA">
      <w:pPr>
        <w:pStyle w:val="NoSpacing"/>
        <w:jc w:val="both"/>
        <w:rPr>
          <w:rFonts w:cs="Calibri"/>
          <w:color w:val="000000"/>
          <w:sz w:val="20"/>
          <w:szCs w:val="20"/>
        </w:rPr>
      </w:pP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There are two attributes of dynamic transfers, particularly when associated with geographically remote variable generation resources, which impact the transmission system: </w:t>
      </w:r>
    </w:p>
    <w:p w:rsidR="00FF5E4C" w:rsidRPr="007F3A91" w:rsidRDefault="00FF5E4C" w:rsidP="00097CBA">
      <w:pPr>
        <w:pStyle w:val="NoSpacing"/>
        <w:jc w:val="both"/>
        <w:rPr>
          <w:rFonts w:cs="Calibri"/>
          <w:color w:val="000000"/>
          <w:sz w:val="20"/>
          <w:szCs w:val="20"/>
        </w:rPr>
      </w:pPr>
    </w:p>
    <w:p w:rsidR="00FF5E4C" w:rsidRPr="007F3A91" w:rsidRDefault="00FF5E4C" w:rsidP="00097CBA">
      <w:pPr>
        <w:pStyle w:val="NoSpacing"/>
        <w:ind w:left="720"/>
        <w:jc w:val="both"/>
        <w:rPr>
          <w:rFonts w:cs="Calibri"/>
          <w:color w:val="000000"/>
          <w:sz w:val="20"/>
          <w:szCs w:val="20"/>
        </w:rPr>
      </w:pPr>
      <w:r w:rsidRPr="007F3A91">
        <w:rPr>
          <w:rFonts w:cs="Calibri"/>
          <w:b/>
          <w:color w:val="000000"/>
          <w:sz w:val="20"/>
          <w:szCs w:val="20"/>
        </w:rPr>
        <w:t>Variability:</w:t>
      </w:r>
      <w:r w:rsidRPr="007F3A91">
        <w:rPr>
          <w:rFonts w:cs="Calibri"/>
          <w:color w:val="000000"/>
          <w:sz w:val="20"/>
          <w:szCs w:val="20"/>
        </w:rPr>
        <w:t xml:space="preserve"> The amount (rate and magnitude of change) plant output fluctuates in the time scale significant to real time operations. </w:t>
      </w:r>
    </w:p>
    <w:p w:rsidR="00FF5E4C" w:rsidRPr="007F3A91" w:rsidRDefault="00FF5E4C" w:rsidP="00097CBA">
      <w:pPr>
        <w:pStyle w:val="NoSpacing"/>
        <w:ind w:left="720"/>
        <w:jc w:val="both"/>
        <w:rPr>
          <w:rFonts w:cs="Calibri"/>
          <w:color w:val="000000"/>
          <w:sz w:val="20"/>
          <w:szCs w:val="20"/>
        </w:rPr>
      </w:pPr>
      <w:r w:rsidRPr="007F3A91">
        <w:rPr>
          <w:rFonts w:cs="Calibri"/>
          <w:b/>
          <w:color w:val="000000"/>
          <w:sz w:val="20"/>
          <w:szCs w:val="20"/>
        </w:rPr>
        <w:t>Uncertainty:</w:t>
      </w:r>
      <w:r w:rsidRPr="007F3A91">
        <w:rPr>
          <w:rFonts w:cs="Calibri"/>
          <w:color w:val="000000"/>
          <w:sz w:val="20"/>
          <w:szCs w:val="20"/>
        </w:rPr>
        <w:t xml:space="preserve"> In the context of the tools and data available to the dispatcher, plant output fluctuates unpredictably in the real time operations time scale. </w:t>
      </w:r>
    </w:p>
    <w:p w:rsidR="00FF5E4C" w:rsidRPr="007F3A91" w:rsidRDefault="00FF5E4C" w:rsidP="00097CBA">
      <w:pPr>
        <w:pStyle w:val="NoSpacing"/>
        <w:jc w:val="both"/>
        <w:rPr>
          <w:rFonts w:cs="Calibri"/>
          <w:color w:val="000000"/>
          <w:sz w:val="20"/>
          <w:szCs w:val="20"/>
        </w:rPr>
      </w:pP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While much of the wind generation on the BPA system has been developed in the Lower Columbia region, dynamic transfers project the variability and uncertainty of wind projects to other areas of the transmission system. The region as a whole must insure that dynamic transfers can be utilized without adversely affecting reliability. </w:t>
      </w:r>
    </w:p>
    <w:p w:rsidR="00FF5E4C" w:rsidRPr="007F3A91" w:rsidRDefault="00FF5E4C" w:rsidP="00097CBA">
      <w:pPr>
        <w:pStyle w:val="NoSpacing"/>
        <w:jc w:val="both"/>
        <w:rPr>
          <w:rFonts w:cs="Calibri"/>
          <w:color w:val="000000"/>
          <w:sz w:val="20"/>
          <w:szCs w:val="20"/>
        </w:rPr>
      </w:pPr>
    </w:p>
    <w:p w:rsidR="00FF5E4C" w:rsidRDefault="00FF5E4C" w:rsidP="00097CBA">
      <w:pPr>
        <w:pStyle w:val="NoSpacing"/>
        <w:jc w:val="both"/>
        <w:rPr>
          <w:rFonts w:cs="Calibri"/>
          <w:color w:val="000000"/>
          <w:sz w:val="20"/>
          <w:szCs w:val="20"/>
        </w:rPr>
      </w:pPr>
      <w:r w:rsidRPr="007F3A91">
        <w:rPr>
          <w:rFonts w:cs="Calibri"/>
          <w:b/>
          <w:bCs/>
          <w:color w:val="000000"/>
          <w:sz w:val="20"/>
          <w:szCs w:val="20"/>
        </w:rPr>
        <w:t xml:space="preserve">Reliability Concerns: </w:t>
      </w:r>
      <w:r w:rsidRPr="007F3A91">
        <w:rPr>
          <w:rFonts w:cs="Calibri"/>
          <w:color w:val="000000"/>
          <w:sz w:val="20"/>
          <w:szCs w:val="20"/>
        </w:rPr>
        <w:t xml:space="preserve">While dynamic transfer is being used now, previous experience with this mode of operation raises the concern that extending the variety and location of resources used may pose threats to the reliable operation of the grid. The conventional methods used to assess reliability impacts (planning and operations) are not sufficient. The management techniques used to prevent, detect, and correct issues resulting from voltage sensitivity, effects on operating limits and response to contingencies must also be improved before fully realizing the benefits of dynamic transfers without detriment to reliability. </w:t>
      </w:r>
    </w:p>
    <w:p w:rsidR="00FF5E4C" w:rsidRPr="007F3A91" w:rsidRDefault="00FF5E4C" w:rsidP="00097CBA">
      <w:pPr>
        <w:pStyle w:val="NoSpacing"/>
        <w:jc w:val="both"/>
        <w:rPr>
          <w:rFonts w:cs="Calibri"/>
          <w:color w:val="000000"/>
          <w:sz w:val="20"/>
          <w:szCs w:val="20"/>
        </w:rPr>
      </w:pPr>
    </w:p>
    <w:p w:rsidR="00FF5E4C" w:rsidRPr="007F3A91" w:rsidRDefault="00FF5E4C" w:rsidP="00097CBA">
      <w:pPr>
        <w:pStyle w:val="NoSpacing"/>
        <w:jc w:val="both"/>
        <w:rPr>
          <w:rFonts w:cs="Calibri"/>
          <w:color w:val="000000"/>
          <w:sz w:val="20"/>
          <w:szCs w:val="20"/>
        </w:rPr>
      </w:pPr>
      <w:r w:rsidRPr="007F3A91">
        <w:rPr>
          <w:rFonts w:cs="Calibri"/>
          <w:b/>
          <w:bCs/>
          <w:color w:val="000000"/>
          <w:sz w:val="20"/>
          <w:szCs w:val="20"/>
        </w:rPr>
        <w:t xml:space="preserve">Operational Concerns: </w:t>
      </w:r>
      <w:r w:rsidRPr="007F3A91">
        <w:rPr>
          <w:rFonts w:cs="Calibri"/>
          <w:color w:val="000000"/>
          <w:sz w:val="20"/>
          <w:szCs w:val="20"/>
        </w:rPr>
        <w:t xml:space="preserve">Care must be taken to reasonably assure that system operators have the tools, skills, and information for real time operations. BPA dispatchers have manual control of several functions (e.g. RAS arming and switching) and increased dynamic transfers may increase workload and the skills required of the operators. Also, there may be a need for fundamental changes to the current mix of manual and automated controls. The effect of rapidly changing flows </w:t>
      </w:r>
      <w:r>
        <w:rPr>
          <w:rFonts w:cs="Calibri"/>
          <w:color w:val="000000"/>
          <w:sz w:val="20"/>
          <w:szCs w:val="20"/>
        </w:rPr>
        <w:t>is</w:t>
      </w:r>
      <w:r w:rsidRPr="007F3A91">
        <w:rPr>
          <w:rFonts w:cs="Calibri"/>
          <w:color w:val="000000"/>
          <w:sz w:val="20"/>
          <w:szCs w:val="20"/>
        </w:rPr>
        <w:t xml:space="preserve"> likely to impact other PNW systems as well, possibly requiring greater coordination of procedures, voltage control, and other real-time activities by system operators of neighboring utilities. </w:t>
      </w:r>
    </w:p>
    <w:p w:rsidR="00FF5E4C" w:rsidRPr="007F3A91" w:rsidRDefault="00FF5E4C" w:rsidP="00097CBA">
      <w:pPr>
        <w:pStyle w:val="NoSpacing"/>
        <w:jc w:val="both"/>
        <w:rPr>
          <w:rFonts w:cs="Calibri"/>
          <w:color w:val="000000"/>
          <w:sz w:val="20"/>
          <w:szCs w:val="20"/>
        </w:rPr>
      </w:pP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This study evaluated transmission reliability impacts resulting from increased dynamic transfers across major PNW transmission paths and established the portion of the existing transmission capability available to accommodate dynamic transfer. Specific concerns identified in the study include the effect of rate of change on voltage management and stability, system operator workload, and switching duty for reactive elements. This study describes a methodology for assessing these factors and quantifying their effects on the transmission system. </w:t>
      </w:r>
    </w:p>
    <w:p w:rsidR="00FF5E4C" w:rsidRPr="007F3A91" w:rsidRDefault="00FF5E4C" w:rsidP="00062E8E">
      <w:pPr>
        <w:pStyle w:val="NoSpacing"/>
        <w:rPr>
          <w:rFonts w:cs="Calibri"/>
          <w:color w:val="000000"/>
          <w:sz w:val="20"/>
          <w:szCs w:val="20"/>
        </w:rPr>
      </w:pPr>
    </w:p>
    <w:p w:rsidR="00FF5E4C" w:rsidRPr="007F3A91" w:rsidRDefault="00FF5E4C" w:rsidP="00062E8E">
      <w:pPr>
        <w:pStyle w:val="NoSpacing"/>
        <w:rPr>
          <w:rFonts w:cs="Calibri"/>
          <w:color w:val="000000"/>
          <w:sz w:val="20"/>
          <w:szCs w:val="20"/>
        </w:rPr>
      </w:pPr>
      <w:r w:rsidRPr="007F3A91">
        <w:rPr>
          <w:rFonts w:cs="Calibri"/>
          <w:color w:val="000000"/>
          <w:sz w:val="20"/>
          <w:szCs w:val="20"/>
        </w:rPr>
        <w:t xml:space="preserve">The PNW interconnections examined in this study are: </w:t>
      </w:r>
    </w:p>
    <w:p w:rsidR="00FF5E4C" w:rsidRPr="007F3A91" w:rsidRDefault="00FF5E4C" w:rsidP="00062E8E">
      <w:pPr>
        <w:pStyle w:val="NoSpacing"/>
        <w:rPr>
          <w:rFonts w:cs="Calibri"/>
          <w:color w:val="000000"/>
          <w:sz w:val="20"/>
          <w:szCs w:val="20"/>
        </w:rPr>
      </w:pPr>
    </w:p>
    <w:p w:rsidR="00FF5E4C" w:rsidRPr="007F3A91" w:rsidRDefault="00FF5E4C" w:rsidP="00062E8E">
      <w:pPr>
        <w:pStyle w:val="NoSpacing"/>
        <w:rPr>
          <w:rFonts w:cs="Calibri"/>
          <w:color w:val="000000"/>
          <w:sz w:val="20"/>
          <w:szCs w:val="20"/>
        </w:rPr>
      </w:pPr>
      <w:r w:rsidRPr="007F3A91">
        <w:rPr>
          <w:rFonts w:cs="Calibri"/>
          <w:color w:val="000000"/>
          <w:sz w:val="20"/>
          <w:szCs w:val="20"/>
        </w:rPr>
        <w:t xml:space="preserve">BCTC-BPA </w:t>
      </w:r>
    </w:p>
    <w:p w:rsidR="00FF5E4C" w:rsidRPr="007F3A91" w:rsidRDefault="00FF5E4C" w:rsidP="00062E8E">
      <w:pPr>
        <w:pStyle w:val="NoSpacing"/>
        <w:rPr>
          <w:rFonts w:cs="Calibri"/>
          <w:color w:val="000000"/>
          <w:sz w:val="20"/>
          <w:szCs w:val="20"/>
        </w:rPr>
      </w:pPr>
      <w:r w:rsidRPr="007F3A91">
        <w:rPr>
          <w:rFonts w:cs="Calibri"/>
          <w:color w:val="000000"/>
          <w:sz w:val="20"/>
          <w:szCs w:val="20"/>
        </w:rPr>
        <w:t xml:space="preserve">COI </w:t>
      </w:r>
    </w:p>
    <w:p w:rsidR="00FF5E4C" w:rsidRPr="007F3A91" w:rsidRDefault="00FF5E4C" w:rsidP="00062E8E">
      <w:pPr>
        <w:pStyle w:val="NoSpacing"/>
        <w:rPr>
          <w:rFonts w:cs="Calibri"/>
          <w:color w:val="000000"/>
          <w:sz w:val="20"/>
          <w:szCs w:val="20"/>
        </w:rPr>
      </w:pPr>
      <w:r w:rsidRPr="007F3A91">
        <w:rPr>
          <w:rFonts w:cs="Calibri"/>
          <w:color w:val="000000"/>
          <w:sz w:val="20"/>
          <w:szCs w:val="20"/>
        </w:rPr>
        <w:t xml:space="preserve">West of Garrison </w:t>
      </w:r>
    </w:p>
    <w:p w:rsidR="00FF5E4C" w:rsidRPr="007F3A91" w:rsidRDefault="00FF5E4C" w:rsidP="00062E8E">
      <w:pPr>
        <w:pStyle w:val="NoSpacing"/>
        <w:rPr>
          <w:rFonts w:cs="Calibri"/>
          <w:color w:val="000000"/>
          <w:sz w:val="20"/>
          <w:szCs w:val="20"/>
        </w:rPr>
      </w:pPr>
      <w:r w:rsidRPr="007F3A91">
        <w:rPr>
          <w:rFonts w:cs="Calibri"/>
          <w:color w:val="000000"/>
          <w:sz w:val="20"/>
          <w:szCs w:val="20"/>
        </w:rPr>
        <w:t xml:space="preserve">Northwest to Idaho (La Grande) </w:t>
      </w:r>
    </w:p>
    <w:p w:rsidR="00FF5E4C" w:rsidRPr="009F3361" w:rsidRDefault="00FF5E4C" w:rsidP="00062E8E">
      <w:pPr>
        <w:pStyle w:val="NoSpacing"/>
        <w:rPr>
          <w:rFonts w:cs="Calibri"/>
          <w:color w:val="000000"/>
        </w:rPr>
      </w:pPr>
    </w:p>
    <w:p w:rsidR="00FF5E4C" w:rsidRPr="009F3361" w:rsidRDefault="00FF5E4C" w:rsidP="00062E8E">
      <w:pPr>
        <w:pStyle w:val="NoSpacing"/>
        <w:rPr>
          <w:rFonts w:cs="Calibri"/>
          <w:color w:val="000000"/>
        </w:rPr>
      </w:pPr>
      <w:r w:rsidRPr="0007596D">
        <w:rPr>
          <w:rFonts w:cs="Calibri"/>
          <w:noProof/>
          <w:color w:val="000000"/>
        </w:rPr>
        <w:pict>
          <v:shape id="Picture 25" o:spid="_x0000_i1049" type="#_x0000_t75" style="width:372pt;height:4in;visibility:visible">
            <v:imagedata r:id="rId37" o:title=""/>
          </v:shape>
        </w:pict>
      </w: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Internal paths considered in this study include those bordering wind generation areas or otherwise affected by flows resulting from dynamic scheduling across the interties: </w:t>
      </w:r>
    </w:p>
    <w:p w:rsidR="00FF5E4C" w:rsidRPr="007F3A91" w:rsidRDefault="00FF5E4C" w:rsidP="00097CBA">
      <w:pPr>
        <w:pStyle w:val="NoSpacing"/>
        <w:jc w:val="both"/>
        <w:rPr>
          <w:rFonts w:cs="Calibri"/>
          <w:color w:val="000000"/>
          <w:sz w:val="20"/>
          <w:szCs w:val="20"/>
        </w:rPr>
      </w:pP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South of Allston </w:t>
      </w: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Cross Cascades North and South </w:t>
      </w: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North of John Day </w:t>
      </w: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North of Hanford </w:t>
      </w: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West of McNary and West of Slatt </w:t>
      </w:r>
    </w:p>
    <w:p w:rsidR="00FF5E4C" w:rsidRPr="007F3A91" w:rsidRDefault="00FF5E4C" w:rsidP="00097CBA">
      <w:pPr>
        <w:pStyle w:val="NoSpacing"/>
        <w:jc w:val="both"/>
        <w:rPr>
          <w:rFonts w:cs="Calibri"/>
          <w:color w:val="000000"/>
          <w:sz w:val="20"/>
          <w:szCs w:val="20"/>
        </w:rPr>
      </w:pP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The close coupling of these paths to each other, and their combined effect on voltages within the BPA system, requires an approach that takes the interrelationships into account and faithfully represents how dynamic transfer, implemented on a system wide basis, [a]ffects grid reliability as a whole. </w:t>
      </w:r>
    </w:p>
    <w:p w:rsidR="00FF5E4C" w:rsidRPr="007F3A91" w:rsidRDefault="00FF5E4C" w:rsidP="00097CBA">
      <w:pPr>
        <w:pStyle w:val="NoSpacing"/>
        <w:jc w:val="both"/>
        <w:rPr>
          <w:rFonts w:cs="Calibri"/>
          <w:color w:val="000000"/>
          <w:sz w:val="20"/>
          <w:szCs w:val="20"/>
        </w:rPr>
      </w:pP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The grid and its controls were designed for system conditions that were largely static, where with the exceptions of ramp periods or contingencies, the only significant variation was a result of load following. Dynamic transfers challenge this fundamental assumption and make it clear that the old control strategies, largely manual, are not sufficiently flexible to accommodate unrestricted expansion of dynamic transfer. Next steps should include identifying where reinforcement, both to the grid and its control mechanisms, is necessary to expand the capability to operate with the increased implementation of dynamic transfer.” </w:t>
      </w:r>
    </w:p>
    <w:p w:rsidR="00FF5E4C" w:rsidRPr="009F3361" w:rsidRDefault="00FF5E4C" w:rsidP="00062E8E">
      <w:pPr>
        <w:pStyle w:val="NoSpacing"/>
        <w:rPr>
          <w:rFonts w:cs="Calibri"/>
          <w:color w:val="000000"/>
        </w:rPr>
      </w:pPr>
    </w:p>
    <w:p w:rsidR="00FF5E4C" w:rsidRPr="009F3361" w:rsidRDefault="00FF5E4C" w:rsidP="00062E8E">
      <w:pPr>
        <w:pStyle w:val="NoSpacing"/>
        <w:rPr>
          <w:rFonts w:cs="Calibri"/>
          <w:b/>
          <w:color w:val="000000"/>
        </w:rPr>
      </w:pPr>
    </w:p>
    <w:p w:rsidR="00FF5E4C" w:rsidRPr="009F3361" w:rsidRDefault="00FF5E4C" w:rsidP="00062E8E">
      <w:pPr>
        <w:pStyle w:val="NoSpacing"/>
        <w:rPr>
          <w:rFonts w:cs="Calibri"/>
          <w:color w:val="000000"/>
        </w:rPr>
      </w:pPr>
    </w:p>
    <w:p w:rsidR="00FF5E4C" w:rsidRPr="009F3361" w:rsidRDefault="00FF5E4C">
      <w:pPr>
        <w:spacing w:after="0" w:line="240" w:lineRule="auto"/>
        <w:rPr>
          <w:rFonts w:cs="Calibri"/>
          <w:color w:val="000000"/>
        </w:rPr>
      </w:pPr>
      <w:r w:rsidRPr="009F3361">
        <w:rPr>
          <w:rFonts w:cs="Calibri"/>
          <w:color w:val="000000"/>
        </w:rPr>
        <w:br w:type="page"/>
      </w:r>
    </w:p>
    <w:p w:rsidR="00FF5E4C" w:rsidRPr="00DE737F" w:rsidRDefault="00FF5E4C" w:rsidP="00DE737F">
      <w:pPr>
        <w:pStyle w:val="Heading2"/>
        <w:rPr>
          <w:rFonts w:ascii="Calibri" w:hAnsi="Calibri" w:cs="Calibri"/>
          <w:color w:val="000000"/>
          <w:sz w:val="22"/>
          <w:szCs w:val="22"/>
        </w:rPr>
      </w:pPr>
      <w:bookmarkStart w:id="10" w:name="_Toc260752701"/>
      <w:r w:rsidRPr="00DE737F">
        <w:rPr>
          <w:rFonts w:ascii="Calibri" w:hAnsi="Calibri" w:cs="Calibri"/>
          <w:color w:val="000000"/>
          <w:sz w:val="22"/>
          <w:szCs w:val="22"/>
        </w:rPr>
        <w:t>Northwest Power and Conservation Council’s Sixth Plan Wind Analysis</w:t>
      </w:r>
      <w:bookmarkEnd w:id="10"/>
    </w:p>
    <w:p w:rsidR="00FF5E4C" w:rsidRPr="009F3361" w:rsidRDefault="00FF5E4C" w:rsidP="00062E8E">
      <w:pPr>
        <w:pStyle w:val="NoSpacing"/>
        <w:rPr>
          <w:rFonts w:cs="Calibri"/>
          <w:color w:val="000000"/>
        </w:rPr>
      </w:pP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The Council assessed the cost and potential for continued wind development to meet local needs in the Columbia Basin, Southern Idaho, and Montana.  The Council also examined the cost of importing wind energy to Northwest load centers from Alberta, Montana, and Wyoming wind resource areas.  It is unlikely that wind power from Alberta, Montana, or Wyoming would be available to serve Oregon or Washington load prior to 2015 because of the time needed to construct the necessary transmission.  These options are summarized in the following </w:t>
      </w:r>
      <w:r w:rsidRPr="005C1756">
        <w:rPr>
          <w:rFonts w:cs="Calibri"/>
          <w:color w:val="000000"/>
          <w:sz w:val="20"/>
          <w:szCs w:val="20"/>
        </w:rPr>
        <w:t>table E-1</w:t>
      </w:r>
      <w:r w:rsidRPr="007F3A91">
        <w:rPr>
          <w:rFonts w:cs="Calibri"/>
          <w:color w:val="000000"/>
          <w:sz w:val="20"/>
          <w:szCs w:val="20"/>
        </w:rPr>
        <w:t xml:space="preserve"> (Table 6-2 from the Council’s plan) shown below.</w:t>
      </w:r>
    </w:p>
    <w:p w:rsidR="00FF5E4C" w:rsidRPr="007F3A91" w:rsidRDefault="00FF5E4C" w:rsidP="00466B35">
      <w:pPr>
        <w:pStyle w:val="NoSpacing"/>
        <w:rPr>
          <w:rFonts w:cs="Calibri"/>
          <w:color w:val="000000"/>
          <w:sz w:val="20"/>
          <w:szCs w:val="20"/>
        </w:rPr>
      </w:pPr>
    </w:p>
    <w:p w:rsidR="00FF5E4C" w:rsidRPr="00097CBA" w:rsidRDefault="00FF5E4C" w:rsidP="00466B35">
      <w:pPr>
        <w:pStyle w:val="NoSpacing"/>
        <w:rPr>
          <w:rFonts w:cs="Calibri"/>
          <w:b/>
          <w:color w:val="000000"/>
          <w:sz w:val="20"/>
          <w:szCs w:val="20"/>
        </w:rPr>
      </w:pPr>
      <w:r w:rsidRPr="00097CBA">
        <w:rPr>
          <w:rFonts w:cs="Calibri"/>
          <w:b/>
          <w:color w:val="000000"/>
          <w:sz w:val="20"/>
          <w:szCs w:val="20"/>
        </w:rPr>
        <w:t xml:space="preserve">Table </w:t>
      </w:r>
      <w:r>
        <w:rPr>
          <w:rFonts w:cs="Calibri"/>
          <w:b/>
          <w:color w:val="000000"/>
          <w:sz w:val="20"/>
          <w:szCs w:val="20"/>
        </w:rPr>
        <w:t>E-1</w:t>
      </w:r>
      <w:r w:rsidRPr="00097CBA">
        <w:rPr>
          <w:rFonts w:cs="Calibri"/>
          <w:b/>
          <w:color w:val="000000"/>
          <w:sz w:val="20"/>
          <w:szCs w:val="20"/>
        </w:rPr>
        <w:t>:  Cost and Availability of New Wind Power (2015)</w:t>
      </w:r>
      <w:r w:rsidRPr="00097CBA">
        <w:rPr>
          <w:rStyle w:val="FootnoteReference"/>
          <w:rFonts w:cs="Calibri"/>
          <w:b/>
          <w:color w:val="000000"/>
          <w:sz w:val="20"/>
          <w:szCs w:val="20"/>
        </w:rPr>
        <w:footnoteReference w:id="2"/>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7"/>
        <w:gridCol w:w="3453"/>
        <w:gridCol w:w="1256"/>
        <w:gridCol w:w="796"/>
        <w:gridCol w:w="1149"/>
      </w:tblGrid>
      <w:tr w:rsidR="00FF5E4C" w:rsidRPr="007F3A91" w:rsidTr="00466B35">
        <w:trPr>
          <w:cantSplit/>
          <w:jc w:val="center"/>
        </w:trPr>
        <w:tc>
          <w:tcPr>
            <w:tcW w:w="2430" w:type="dxa"/>
            <w:tcBorders>
              <w:bottom w:val="single" w:sz="6" w:space="0" w:color="000000"/>
            </w:tcBorders>
            <w:shd w:val="clear" w:color="auto" w:fill="C0C0C0"/>
            <w:vAlign w:val="bottom"/>
          </w:tcPr>
          <w:p w:rsidR="00FF5E4C" w:rsidRPr="007F3A91" w:rsidRDefault="00FF5E4C" w:rsidP="00466B35">
            <w:pPr>
              <w:pStyle w:val="NoSpacing"/>
              <w:rPr>
                <w:rFonts w:cs="Calibri"/>
                <w:b/>
                <w:bCs/>
                <w:iCs/>
                <w:color w:val="000000"/>
                <w:sz w:val="20"/>
                <w:szCs w:val="20"/>
              </w:rPr>
            </w:pPr>
            <w:r w:rsidRPr="007F3A91">
              <w:rPr>
                <w:rFonts w:cs="Calibri"/>
                <w:b/>
                <w:bCs/>
                <w:iCs/>
                <w:color w:val="000000"/>
                <w:sz w:val="20"/>
                <w:szCs w:val="20"/>
              </w:rPr>
              <w:t>Resource</w:t>
            </w:r>
          </w:p>
        </w:tc>
        <w:tc>
          <w:tcPr>
            <w:tcW w:w="3472" w:type="dxa"/>
            <w:tcBorders>
              <w:bottom w:val="single" w:sz="6" w:space="0" w:color="000000"/>
            </w:tcBorders>
            <w:shd w:val="clear" w:color="auto" w:fill="C0C0C0"/>
            <w:vAlign w:val="bottom"/>
          </w:tcPr>
          <w:p w:rsidR="00FF5E4C" w:rsidRPr="007F3A91" w:rsidRDefault="00FF5E4C" w:rsidP="00466B35">
            <w:pPr>
              <w:pStyle w:val="NoSpacing"/>
              <w:rPr>
                <w:rFonts w:cs="Calibri"/>
                <w:b/>
                <w:bCs/>
                <w:iCs/>
                <w:color w:val="000000"/>
                <w:sz w:val="20"/>
                <w:szCs w:val="20"/>
              </w:rPr>
            </w:pPr>
            <w:r w:rsidRPr="007F3A91">
              <w:rPr>
                <w:rFonts w:cs="Calibri"/>
                <w:b/>
                <w:bCs/>
                <w:iCs/>
                <w:color w:val="000000"/>
                <w:sz w:val="20"/>
                <w:szCs w:val="20"/>
              </w:rPr>
              <w:t>Limiting Factor</w:t>
            </w:r>
          </w:p>
        </w:tc>
        <w:tc>
          <w:tcPr>
            <w:tcW w:w="1256" w:type="dxa"/>
            <w:tcBorders>
              <w:bottom w:val="single" w:sz="6" w:space="0" w:color="000000"/>
            </w:tcBorders>
            <w:shd w:val="clear" w:color="auto" w:fill="C0C0C0"/>
            <w:vAlign w:val="bottom"/>
          </w:tcPr>
          <w:p w:rsidR="00FF5E4C" w:rsidRPr="007F3A91" w:rsidRDefault="00FF5E4C" w:rsidP="00466B35">
            <w:pPr>
              <w:pStyle w:val="NoSpacing"/>
              <w:rPr>
                <w:rFonts w:cs="Calibri"/>
                <w:b/>
                <w:bCs/>
                <w:iCs/>
                <w:color w:val="000000"/>
                <w:sz w:val="20"/>
                <w:szCs w:val="20"/>
              </w:rPr>
            </w:pPr>
            <w:r w:rsidRPr="007F3A91">
              <w:rPr>
                <w:rFonts w:cs="Calibri"/>
                <w:b/>
                <w:bCs/>
                <w:iCs/>
                <w:color w:val="000000"/>
                <w:sz w:val="20"/>
                <w:szCs w:val="20"/>
              </w:rPr>
              <w:t>Capacity</w:t>
            </w:r>
          </w:p>
          <w:p w:rsidR="00FF5E4C" w:rsidRPr="007F3A91" w:rsidRDefault="00FF5E4C" w:rsidP="00466B35">
            <w:pPr>
              <w:pStyle w:val="NoSpacing"/>
              <w:rPr>
                <w:rFonts w:cs="Calibri"/>
                <w:b/>
                <w:bCs/>
                <w:iCs/>
                <w:color w:val="000000"/>
                <w:sz w:val="20"/>
                <w:szCs w:val="20"/>
              </w:rPr>
            </w:pPr>
            <w:r w:rsidRPr="007F3A91">
              <w:rPr>
                <w:rFonts w:cs="Calibri"/>
                <w:b/>
                <w:bCs/>
                <w:iCs/>
                <w:color w:val="000000"/>
                <w:sz w:val="20"/>
                <w:szCs w:val="20"/>
              </w:rPr>
              <w:t>(MW)</w:t>
            </w:r>
          </w:p>
        </w:tc>
        <w:tc>
          <w:tcPr>
            <w:tcW w:w="0" w:type="auto"/>
            <w:tcBorders>
              <w:bottom w:val="single" w:sz="6" w:space="0" w:color="000000"/>
            </w:tcBorders>
            <w:shd w:val="clear" w:color="auto" w:fill="C0C0C0"/>
            <w:vAlign w:val="bottom"/>
          </w:tcPr>
          <w:p w:rsidR="00FF5E4C" w:rsidRPr="007F3A91" w:rsidRDefault="00FF5E4C" w:rsidP="00466B35">
            <w:pPr>
              <w:pStyle w:val="NoSpacing"/>
              <w:rPr>
                <w:rFonts w:cs="Calibri"/>
                <w:b/>
                <w:bCs/>
                <w:iCs/>
                <w:color w:val="000000"/>
                <w:sz w:val="20"/>
                <w:szCs w:val="20"/>
              </w:rPr>
            </w:pPr>
            <w:r w:rsidRPr="007F3A91">
              <w:rPr>
                <w:rFonts w:cs="Calibri"/>
                <w:b/>
                <w:bCs/>
                <w:iCs/>
                <w:color w:val="000000"/>
                <w:sz w:val="20"/>
                <w:szCs w:val="20"/>
              </w:rPr>
              <w:t>Energy</w:t>
            </w:r>
          </w:p>
          <w:p w:rsidR="00FF5E4C" w:rsidRPr="007F3A91" w:rsidRDefault="00FF5E4C" w:rsidP="00466B35">
            <w:pPr>
              <w:pStyle w:val="NoSpacing"/>
              <w:rPr>
                <w:rFonts w:cs="Calibri"/>
                <w:b/>
                <w:bCs/>
                <w:iCs/>
                <w:color w:val="000000"/>
                <w:sz w:val="20"/>
                <w:szCs w:val="20"/>
              </w:rPr>
            </w:pPr>
            <w:r w:rsidRPr="007F3A91">
              <w:rPr>
                <w:rFonts w:cs="Calibri"/>
                <w:b/>
                <w:bCs/>
                <w:iCs/>
                <w:color w:val="000000"/>
                <w:sz w:val="20"/>
                <w:szCs w:val="20"/>
              </w:rPr>
              <w:t>(MWa)</w:t>
            </w:r>
          </w:p>
        </w:tc>
        <w:tc>
          <w:tcPr>
            <w:tcW w:w="0" w:type="auto"/>
            <w:tcBorders>
              <w:bottom w:val="single" w:sz="6" w:space="0" w:color="000000"/>
            </w:tcBorders>
            <w:shd w:val="clear" w:color="auto" w:fill="C0C0C0"/>
            <w:vAlign w:val="bottom"/>
          </w:tcPr>
          <w:p w:rsidR="00FF5E4C" w:rsidRPr="007F3A91" w:rsidRDefault="00FF5E4C" w:rsidP="00466B35">
            <w:pPr>
              <w:pStyle w:val="NoSpacing"/>
              <w:rPr>
                <w:rFonts w:cs="Calibri"/>
                <w:b/>
                <w:bCs/>
                <w:iCs/>
                <w:color w:val="000000"/>
                <w:sz w:val="20"/>
                <w:szCs w:val="20"/>
              </w:rPr>
            </w:pPr>
            <w:r w:rsidRPr="007F3A91">
              <w:rPr>
                <w:rFonts w:cs="Calibri"/>
                <w:b/>
                <w:bCs/>
                <w:iCs/>
                <w:color w:val="000000"/>
                <w:sz w:val="20"/>
                <w:szCs w:val="20"/>
              </w:rPr>
              <w:t>Cost</w:t>
            </w:r>
          </w:p>
          <w:p w:rsidR="00FF5E4C" w:rsidRPr="007F3A91" w:rsidRDefault="00FF5E4C" w:rsidP="00466B35">
            <w:pPr>
              <w:pStyle w:val="NoSpacing"/>
              <w:rPr>
                <w:rFonts w:cs="Calibri"/>
                <w:b/>
                <w:bCs/>
                <w:iCs/>
                <w:color w:val="000000"/>
                <w:sz w:val="20"/>
                <w:szCs w:val="20"/>
              </w:rPr>
            </w:pPr>
            <w:r w:rsidRPr="007F3A91">
              <w:rPr>
                <w:rFonts w:cs="Calibri"/>
                <w:b/>
                <w:bCs/>
                <w:iCs/>
                <w:color w:val="000000"/>
                <w:sz w:val="20"/>
                <w:szCs w:val="20"/>
              </w:rPr>
              <w:t>($/MW/hr)</w:t>
            </w:r>
          </w:p>
        </w:tc>
      </w:tr>
      <w:tr w:rsidR="00FF5E4C" w:rsidRPr="007F3A91" w:rsidTr="00466B35">
        <w:trPr>
          <w:cantSplit/>
          <w:jc w:val="center"/>
        </w:trPr>
        <w:tc>
          <w:tcPr>
            <w:tcW w:w="2430" w:type="dxa"/>
            <w:vAlign w:val="bottom"/>
          </w:tcPr>
          <w:p w:rsidR="00FF5E4C" w:rsidRPr="007F3A91" w:rsidRDefault="00FF5E4C" w:rsidP="00466B35">
            <w:pPr>
              <w:pStyle w:val="NoSpacing"/>
              <w:rPr>
                <w:rFonts w:cs="Calibri"/>
                <w:b/>
                <w:bCs/>
                <w:color w:val="000000"/>
                <w:sz w:val="20"/>
                <w:szCs w:val="20"/>
              </w:rPr>
            </w:pPr>
            <w:r w:rsidRPr="007F3A91">
              <w:rPr>
                <w:rFonts w:cs="Calibri"/>
                <w:b/>
                <w:bCs/>
                <w:color w:val="000000"/>
                <w:sz w:val="20"/>
                <w:szCs w:val="20"/>
              </w:rPr>
              <w:t>Local Montana</w:t>
            </w:r>
          </w:p>
        </w:tc>
        <w:tc>
          <w:tcPr>
            <w:tcW w:w="3472"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20% peak load penetration</w:t>
            </w:r>
          </w:p>
        </w:tc>
        <w:tc>
          <w:tcPr>
            <w:tcW w:w="1256"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215</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80</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$90</w:t>
            </w:r>
          </w:p>
        </w:tc>
      </w:tr>
      <w:tr w:rsidR="00FF5E4C" w:rsidRPr="007F3A91" w:rsidTr="00466B35">
        <w:trPr>
          <w:cantSplit/>
          <w:jc w:val="center"/>
        </w:trPr>
        <w:tc>
          <w:tcPr>
            <w:tcW w:w="2430" w:type="dxa"/>
            <w:vAlign w:val="bottom"/>
          </w:tcPr>
          <w:p w:rsidR="00FF5E4C" w:rsidRPr="007F3A91" w:rsidRDefault="00FF5E4C" w:rsidP="00466B35">
            <w:pPr>
              <w:pStyle w:val="NoSpacing"/>
              <w:rPr>
                <w:rFonts w:cs="Calibri"/>
                <w:b/>
                <w:bCs/>
                <w:color w:val="000000"/>
                <w:sz w:val="20"/>
                <w:szCs w:val="20"/>
              </w:rPr>
            </w:pPr>
            <w:r w:rsidRPr="007F3A91">
              <w:rPr>
                <w:rFonts w:cs="Calibri"/>
                <w:b/>
                <w:bCs/>
                <w:color w:val="000000"/>
                <w:sz w:val="20"/>
                <w:szCs w:val="20"/>
              </w:rPr>
              <w:t>Columbia Basin &gt;</w:t>
            </w:r>
          </w:p>
          <w:p w:rsidR="00FF5E4C" w:rsidRPr="007F3A91" w:rsidRDefault="00FF5E4C" w:rsidP="00466B35">
            <w:pPr>
              <w:pStyle w:val="NoSpacing"/>
              <w:rPr>
                <w:rFonts w:cs="Calibri"/>
                <w:b/>
                <w:bCs/>
                <w:color w:val="000000"/>
                <w:sz w:val="20"/>
                <w:szCs w:val="20"/>
              </w:rPr>
            </w:pPr>
            <w:r w:rsidRPr="007F3A91">
              <w:rPr>
                <w:rFonts w:cs="Calibri"/>
                <w:b/>
                <w:bCs/>
                <w:color w:val="000000"/>
                <w:sz w:val="20"/>
                <w:szCs w:val="20"/>
              </w:rPr>
              <w:t>PNW Westside</w:t>
            </w:r>
          </w:p>
        </w:tc>
        <w:tc>
          <w:tcPr>
            <w:tcW w:w="3472"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Transmission at embedded cost</w:t>
            </w:r>
          </w:p>
        </w:tc>
        <w:tc>
          <w:tcPr>
            <w:tcW w:w="1256"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4060</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1300</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$104</w:t>
            </w:r>
          </w:p>
        </w:tc>
      </w:tr>
      <w:tr w:rsidR="00FF5E4C" w:rsidRPr="007F3A91" w:rsidTr="00466B35">
        <w:trPr>
          <w:cantSplit/>
          <w:jc w:val="center"/>
        </w:trPr>
        <w:tc>
          <w:tcPr>
            <w:tcW w:w="2430" w:type="dxa"/>
            <w:vAlign w:val="bottom"/>
          </w:tcPr>
          <w:p w:rsidR="00FF5E4C" w:rsidRPr="007F3A91" w:rsidRDefault="00FF5E4C" w:rsidP="00466B35">
            <w:pPr>
              <w:pStyle w:val="NoSpacing"/>
              <w:rPr>
                <w:rFonts w:cs="Calibri"/>
                <w:b/>
                <w:bCs/>
                <w:color w:val="000000"/>
                <w:sz w:val="20"/>
                <w:szCs w:val="20"/>
              </w:rPr>
            </w:pPr>
            <w:r w:rsidRPr="007F3A91">
              <w:rPr>
                <w:rFonts w:cs="Calibri"/>
                <w:b/>
                <w:bCs/>
                <w:color w:val="000000"/>
                <w:sz w:val="20"/>
                <w:szCs w:val="20"/>
              </w:rPr>
              <w:t>Other local OR/WA</w:t>
            </w:r>
          </w:p>
        </w:tc>
        <w:tc>
          <w:tcPr>
            <w:tcW w:w="3472"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20% peak load penetration</w:t>
            </w:r>
          </w:p>
        </w:tc>
        <w:tc>
          <w:tcPr>
            <w:tcW w:w="1256"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340</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110</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$104</w:t>
            </w:r>
          </w:p>
        </w:tc>
      </w:tr>
      <w:tr w:rsidR="00FF5E4C" w:rsidRPr="007F3A91" w:rsidTr="00466B35">
        <w:trPr>
          <w:cantSplit/>
          <w:jc w:val="center"/>
        </w:trPr>
        <w:tc>
          <w:tcPr>
            <w:tcW w:w="2430" w:type="dxa"/>
            <w:vAlign w:val="bottom"/>
          </w:tcPr>
          <w:p w:rsidR="00FF5E4C" w:rsidRPr="007F3A91" w:rsidRDefault="00FF5E4C" w:rsidP="00466B35">
            <w:pPr>
              <w:pStyle w:val="NoSpacing"/>
              <w:rPr>
                <w:rFonts w:cs="Calibri"/>
                <w:b/>
                <w:bCs/>
                <w:color w:val="000000"/>
                <w:sz w:val="20"/>
                <w:szCs w:val="20"/>
              </w:rPr>
            </w:pPr>
            <w:r w:rsidRPr="007F3A91">
              <w:rPr>
                <w:rFonts w:cs="Calibri"/>
                <w:b/>
                <w:bCs/>
                <w:color w:val="000000"/>
                <w:sz w:val="20"/>
                <w:szCs w:val="20"/>
              </w:rPr>
              <w:t>Local Southern Idaho</w:t>
            </w:r>
          </w:p>
        </w:tc>
        <w:tc>
          <w:tcPr>
            <w:tcW w:w="3472"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20% peak load penetration</w:t>
            </w:r>
          </w:p>
        </w:tc>
        <w:tc>
          <w:tcPr>
            <w:tcW w:w="1256"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725</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215</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$110</w:t>
            </w:r>
          </w:p>
        </w:tc>
      </w:tr>
      <w:tr w:rsidR="00FF5E4C" w:rsidRPr="007F3A91" w:rsidTr="00466B35">
        <w:trPr>
          <w:cantSplit/>
          <w:jc w:val="center"/>
        </w:trPr>
        <w:tc>
          <w:tcPr>
            <w:tcW w:w="2430" w:type="dxa"/>
            <w:vAlign w:val="bottom"/>
          </w:tcPr>
          <w:p w:rsidR="00FF5E4C" w:rsidRPr="007F3A91" w:rsidRDefault="00FF5E4C" w:rsidP="00466B35">
            <w:pPr>
              <w:pStyle w:val="NoSpacing"/>
              <w:rPr>
                <w:rFonts w:cs="Calibri"/>
                <w:b/>
                <w:bCs/>
                <w:color w:val="000000"/>
                <w:sz w:val="20"/>
                <w:szCs w:val="20"/>
              </w:rPr>
            </w:pPr>
            <w:r w:rsidRPr="007F3A91">
              <w:rPr>
                <w:rFonts w:cs="Calibri"/>
                <w:b/>
                <w:bCs/>
                <w:color w:val="000000"/>
                <w:sz w:val="20"/>
                <w:szCs w:val="20"/>
              </w:rPr>
              <w:t>Montana &gt; ID</w:t>
            </w:r>
          </w:p>
        </w:tc>
        <w:tc>
          <w:tcPr>
            <w:tcW w:w="3472"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New 500kV AC transmission</w:t>
            </w:r>
          </w:p>
        </w:tc>
        <w:tc>
          <w:tcPr>
            <w:tcW w:w="1256"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1500/circuit</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570</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$117</w:t>
            </w:r>
          </w:p>
        </w:tc>
      </w:tr>
      <w:tr w:rsidR="00FF5E4C" w:rsidRPr="007F3A91" w:rsidTr="00466B35">
        <w:trPr>
          <w:cantSplit/>
          <w:jc w:val="center"/>
        </w:trPr>
        <w:tc>
          <w:tcPr>
            <w:tcW w:w="2430" w:type="dxa"/>
            <w:vAlign w:val="bottom"/>
          </w:tcPr>
          <w:p w:rsidR="00FF5E4C" w:rsidRPr="007F3A91" w:rsidRDefault="00FF5E4C" w:rsidP="00466B35">
            <w:pPr>
              <w:pStyle w:val="NoSpacing"/>
              <w:rPr>
                <w:rFonts w:cs="Calibri"/>
                <w:b/>
                <w:bCs/>
                <w:color w:val="000000"/>
                <w:sz w:val="20"/>
                <w:szCs w:val="20"/>
              </w:rPr>
            </w:pPr>
            <w:r w:rsidRPr="007F3A91">
              <w:rPr>
                <w:rFonts w:cs="Calibri"/>
                <w:b/>
                <w:bCs/>
                <w:color w:val="000000"/>
                <w:sz w:val="20"/>
                <w:szCs w:val="20"/>
              </w:rPr>
              <w:t>Wyoming &gt;  ID</w:t>
            </w:r>
          </w:p>
        </w:tc>
        <w:tc>
          <w:tcPr>
            <w:tcW w:w="3472"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New 500kV AC transmission</w:t>
            </w:r>
          </w:p>
        </w:tc>
        <w:tc>
          <w:tcPr>
            <w:tcW w:w="1256"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1500/circuit</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570</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$122</w:t>
            </w:r>
          </w:p>
        </w:tc>
      </w:tr>
      <w:tr w:rsidR="00FF5E4C" w:rsidRPr="007F3A91" w:rsidTr="00466B35">
        <w:trPr>
          <w:cantSplit/>
          <w:jc w:val="center"/>
        </w:trPr>
        <w:tc>
          <w:tcPr>
            <w:tcW w:w="2430" w:type="dxa"/>
            <w:vAlign w:val="bottom"/>
          </w:tcPr>
          <w:p w:rsidR="00FF5E4C" w:rsidRPr="007F3A91" w:rsidRDefault="00FF5E4C" w:rsidP="00466B35">
            <w:pPr>
              <w:pStyle w:val="NoSpacing"/>
              <w:rPr>
                <w:rFonts w:cs="Calibri"/>
                <w:b/>
                <w:bCs/>
                <w:color w:val="000000"/>
                <w:sz w:val="20"/>
                <w:szCs w:val="20"/>
              </w:rPr>
            </w:pPr>
            <w:r w:rsidRPr="007F3A91">
              <w:rPr>
                <w:rFonts w:cs="Calibri"/>
                <w:b/>
                <w:bCs/>
                <w:color w:val="000000"/>
                <w:sz w:val="20"/>
                <w:szCs w:val="20"/>
              </w:rPr>
              <w:t>Montana &gt; OR/WA via CTS Upgrade</w:t>
            </w:r>
          </w:p>
        </w:tc>
        <w:tc>
          <w:tcPr>
            <w:tcW w:w="3472"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 xml:space="preserve">Upgrade potential of Colstrip Transmission System </w:t>
            </w:r>
          </w:p>
        </w:tc>
        <w:tc>
          <w:tcPr>
            <w:tcW w:w="1256"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659</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244</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$129</w:t>
            </w:r>
          </w:p>
        </w:tc>
      </w:tr>
      <w:tr w:rsidR="00FF5E4C" w:rsidRPr="007F3A91" w:rsidTr="00466B35">
        <w:trPr>
          <w:cantSplit/>
          <w:jc w:val="center"/>
        </w:trPr>
        <w:tc>
          <w:tcPr>
            <w:tcW w:w="2430" w:type="dxa"/>
            <w:vAlign w:val="bottom"/>
          </w:tcPr>
          <w:p w:rsidR="00FF5E4C" w:rsidRPr="007F3A91" w:rsidRDefault="00FF5E4C" w:rsidP="00466B35">
            <w:pPr>
              <w:pStyle w:val="NoSpacing"/>
              <w:rPr>
                <w:rFonts w:cs="Calibri"/>
                <w:b/>
                <w:bCs/>
                <w:color w:val="000000"/>
                <w:sz w:val="20"/>
                <w:szCs w:val="20"/>
              </w:rPr>
            </w:pPr>
            <w:r w:rsidRPr="007F3A91">
              <w:rPr>
                <w:rFonts w:cs="Calibri"/>
                <w:b/>
                <w:bCs/>
                <w:color w:val="000000"/>
                <w:sz w:val="20"/>
                <w:szCs w:val="20"/>
              </w:rPr>
              <w:t>Alberta &gt; OR/WA</w:t>
            </w:r>
          </w:p>
        </w:tc>
        <w:tc>
          <w:tcPr>
            <w:tcW w:w="3472"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New +/-500kV DC transmission</w:t>
            </w:r>
          </w:p>
        </w:tc>
        <w:tc>
          <w:tcPr>
            <w:tcW w:w="1256"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2000/circuit</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760</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$139</w:t>
            </w:r>
          </w:p>
        </w:tc>
      </w:tr>
      <w:tr w:rsidR="00FF5E4C" w:rsidRPr="007F3A91" w:rsidTr="00466B35">
        <w:trPr>
          <w:cantSplit/>
          <w:jc w:val="center"/>
        </w:trPr>
        <w:tc>
          <w:tcPr>
            <w:tcW w:w="2430" w:type="dxa"/>
            <w:vAlign w:val="bottom"/>
          </w:tcPr>
          <w:p w:rsidR="00FF5E4C" w:rsidRPr="007F3A91" w:rsidRDefault="00FF5E4C" w:rsidP="00466B35">
            <w:pPr>
              <w:pStyle w:val="NoSpacing"/>
              <w:rPr>
                <w:rFonts w:cs="Calibri"/>
                <w:b/>
                <w:bCs/>
                <w:color w:val="000000"/>
                <w:sz w:val="20"/>
                <w:szCs w:val="20"/>
              </w:rPr>
            </w:pPr>
            <w:r w:rsidRPr="007F3A91">
              <w:rPr>
                <w:rFonts w:cs="Calibri"/>
                <w:b/>
                <w:bCs/>
                <w:color w:val="000000"/>
                <w:sz w:val="20"/>
                <w:szCs w:val="20"/>
              </w:rPr>
              <w:t>Montana &gt; OR/WA</w:t>
            </w:r>
          </w:p>
        </w:tc>
        <w:tc>
          <w:tcPr>
            <w:tcW w:w="3472"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New 500kV AC transmission via S. ID</w:t>
            </w:r>
          </w:p>
        </w:tc>
        <w:tc>
          <w:tcPr>
            <w:tcW w:w="1256"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1500/circuit</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570</w:t>
            </w:r>
          </w:p>
        </w:tc>
        <w:tc>
          <w:tcPr>
            <w:tcW w:w="0" w:type="auto"/>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$148</w:t>
            </w:r>
          </w:p>
        </w:tc>
      </w:tr>
      <w:tr w:rsidR="00FF5E4C" w:rsidRPr="007F3A91" w:rsidTr="00466B35">
        <w:trPr>
          <w:cantSplit/>
          <w:jc w:val="center"/>
        </w:trPr>
        <w:tc>
          <w:tcPr>
            <w:tcW w:w="2430" w:type="dxa"/>
            <w:tcBorders>
              <w:top w:val="nil"/>
              <w:bottom w:val="single" w:sz="6" w:space="0" w:color="000000"/>
            </w:tcBorders>
            <w:shd w:val="solid" w:color="FFFFFF" w:fill="FFFFFF"/>
            <w:vAlign w:val="bottom"/>
          </w:tcPr>
          <w:p w:rsidR="00FF5E4C" w:rsidRPr="007F3A91" w:rsidRDefault="00FF5E4C" w:rsidP="00466B35">
            <w:pPr>
              <w:pStyle w:val="NoSpacing"/>
              <w:rPr>
                <w:rFonts w:cs="Calibri"/>
                <w:b/>
                <w:bCs/>
                <w:color w:val="000000"/>
                <w:sz w:val="20"/>
                <w:szCs w:val="20"/>
              </w:rPr>
            </w:pPr>
            <w:r w:rsidRPr="007F3A91">
              <w:rPr>
                <w:rFonts w:cs="Calibri"/>
                <w:b/>
                <w:bCs/>
                <w:color w:val="000000"/>
                <w:sz w:val="20"/>
                <w:szCs w:val="20"/>
              </w:rPr>
              <w:t>Wyoming &gt;  OR/WA</w:t>
            </w:r>
          </w:p>
        </w:tc>
        <w:tc>
          <w:tcPr>
            <w:tcW w:w="3472" w:type="dxa"/>
            <w:tcBorders>
              <w:top w:val="nil"/>
              <w:bottom w:val="single" w:sz="6" w:space="0" w:color="000000"/>
            </w:tcBorders>
            <w:shd w:val="solid" w:color="FFFFFF" w:fill="FFFFFF"/>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New 500kV AC transmission</w:t>
            </w:r>
          </w:p>
        </w:tc>
        <w:tc>
          <w:tcPr>
            <w:tcW w:w="1256" w:type="dxa"/>
            <w:tcBorders>
              <w:top w:val="nil"/>
              <w:bottom w:val="single" w:sz="6" w:space="0" w:color="000000"/>
            </w:tcBorders>
            <w:shd w:val="solid" w:color="FFFFFF" w:fill="FFFFFF"/>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1500/circuit</w:t>
            </w:r>
          </w:p>
        </w:tc>
        <w:tc>
          <w:tcPr>
            <w:tcW w:w="0" w:type="auto"/>
            <w:tcBorders>
              <w:top w:val="nil"/>
              <w:bottom w:val="single" w:sz="6" w:space="0" w:color="000000"/>
            </w:tcBorders>
            <w:shd w:val="solid" w:color="FFFFFF" w:fill="FFFFFF"/>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570</w:t>
            </w:r>
          </w:p>
        </w:tc>
        <w:tc>
          <w:tcPr>
            <w:tcW w:w="0" w:type="auto"/>
            <w:tcBorders>
              <w:top w:val="nil"/>
              <w:bottom w:val="single" w:sz="6" w:space="0" w:color="000000"/>
            </w:tcBorders>
            <w:shd w:val="solid" w:color="FFFFFF" w:fill="FFFFFF"/>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$155</w:t>
            </w:r>
          </w:p>
        </w:tc>
      </w:tr>
    </w:tbl>
    <w:p w:rsidR="00FF5E4C" w:rsidRPr="007F3A91" w:rsidRDefault="00FF5E4C" w:rsidP="00466B35">
      <w:pPr>
        <w:pStyle w:val="NoSpacing"/>
        <w:rPr>
          <w:rFonts w:cs="Calibri"/>
          <w:color w:val="000000"/>
          <w:sz w:val="20"/>
          <w:szCs w:val="20"/>
        </w:rPr>
      </w:pPr>
    </w:p>
    <w:p w:rsidR="00FF5E4C" w:rsidRPr="007F3A91" w:rsidRDefault="00FF5E4C" w:rsidP="00466B35">
      <w:pPr>
        <w:pStyle w:val="NoSpacing"/>
        <w:rPr>
          <w:rFonts w:cs="Calibri"/>
          <w:color w:val="000000"/>
          <w:sz w:val="20"/>
          <w:szCs w:val="20"/>
        </w:rPr>
      </w:pPr>
    </w:p>
    <w:p w:rsidR="00FF5E4C" w:rsidRPr="005C1756" w:rsidRDefault="00FF5E4C" w:rsidP="00097CBA">
      <w:pPr>
        <w:pStyle w:val="NoSpacing"/>
        <w:jc w:val="both"/>
        <w:rPr>
          <w:rFonts w:cs="Calibri"/>
          <w:color w:val="000000"/>
          <w:sz w:val="20"/>
          <w:szCs w:val="20"/>
        </w:rPr>
      </w:pPr>
      <w:r w:rsidRPr="007F3A91">
        <w:rPr>
          <w:rFonts w:cs="Calibri"/>
          <w:color w:val="000000"/>
          <w:sz w:val="20"/>
          <w:szCs w:val="20"/>
        </w:rPr>
        <w:t xml:space="preserve">The values are in levelized constant 2006 dollars, for 2015 delivery.  The values take into account the higher value, driven by the higher capacity factors, of the Montana-Wyoming wind sites compared to the Columbia Gorge wind sites.  It does not take any </w:t>
      </w:r>
      <w:r w:rsidRPr="005C1756">
        <w:rPr>
          <w:rFonts w:cs="Calibri"/>
          <w:color w:val="000000"/>
          <w:sz w:val="20"/>
          <w:szCs w:val="20"/>
        </w:rPr>
        <w:t>account of the potentially higher contribution to winter peak loads (capacity value) that may be present in the Montana-Wyoming wind sites.  Table E-2, below, shows the capacity factors used in the Council’s analysis.</w:t>
      </w:r>
      <w:r w:rsidRPr="005C1756">
        <w:rPr>
          <w:rStyle w:val="FootnoteReference"/>
          <w:rFonts w:cs="Calibri"/>
          <w:color w:val="000000"/>
          <w:sz w:val="20"/>
          <w:szCs w:val="20"/>
        </w:rPr>
        <w:t xml:space="preserve"> </w:t>
      </w:r>
      <w:r w:rsidRPr="005C1756">
        <w:rPr>
          <w:rStyle w:val="FootnoteReference"/>
          <w:rFonts w:cs="Calibri"/>
          <w:color w:val="000000"/>
          <w:sz w:val="20"/>
          <w:szCs w:val="20"/>
        </w:rPr>
        <w:footnoteReference w:id="3"/>
      </w:r>
      <w:r w:rsidRPr="005C1756">
        <w:rPr>
          <w:rFonts w:cs="Calibri"/>
          <w:color w:val="000000"/>
          <w:sz w:val="20"/>
          <w:szCs w:val="20"/>
        </w:rPr>
        <w:t xml:space="preserve">  </w:t>
      </w:r>
    </w:p>
    <w:p w:rsidR="00FF5E4C" w:rsidRPr="005C1756" w:rsidRDefault="00FF5E4C" w:rsidP="00466B35">
      <w:pPr>
        <w:pStyle w:val="NoSpacing"/>
        <w:rPr>
          <w:rFonts w:cs="Calibri"/>
          <w:color w:val="000000"/>
          <w:sz w:val="20"/>
          <w:szCs w:val="20"/>
        </w:rPr>
      </w:pPr>
    </w:p>
    <w:p w:rsidR="00FF5E4C" w:rsidRPr="00097CBA" w:rsidRDefault="00FF5E4C" w:rsidP="00097CBA">
      <w:pPr>
        <w:pStyle w:val="NoSpacing"/>
        <w:rPr>
          <w:rFonts w:cs="Calibri"/>
          <w:b/>
          <w:color w:val="000000"/>
          <w:sz w:val="20"/>
          <w:szCs w:val="20"/>
        </w:rPr>
      </w:pPr>
      <w:r w:rsidRPr="005C1756">
        <w:rPr>
          <w:rFonts w:cs="Calibri"/>
          <w:b/>
          <w:color w:val="000000"/>
          <w:sz w:val="20"/>
          <w:szCs w:val="20"/>
        </w:rPr>
        <w:t>Table E-2</w:t>
      </w:r>
    </w:p>
    <w:tbl>
      <w:tblPr>
        <w:tblW w:w="8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1063"/>
        <w:gridCol w:w="1099"/>
        <w:gridCol w:w="1197"/>
        <w:gridCol w:w="1295"/>
        <w:gridCol w:w="1183"/>
      </w:tblGrid>
      <w:tr w:rsidR="00FF5E4C" w:rsidRPr="007F3A91" w:rsidTr="00466B35">
        <w:trPr>
          <w:cantSplit/>
          <w:jc w:val="center"/>
        </w:trPr>
        <w:tc>
          <w:tcPr>
            <w:tcW w:w="2418" w:type="dxa"/>
            <w:tcBorders>
              <w:bottom w:val="single" w:sz="6" w:space="0" w:color="000000"/>
            </w:tcBorders>
            <w:shd w:val="clear" w:color="auto" w:fill="C0C0C0"/>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Wind Resource Area &gt;</w:t>
            </w:r>
          </w:p>
        </w:tc>
        <w:tc>
          <w:tcPr>
            <w:tcW w:w="1063" w:type="dxa"/>
            <w:tcBorders>
              <w:bottom w:val="single" w:sz="6" w:space="0" w:color="000000"/>
            </w:tcBorders>
            <w:shd w:val="clear" w:color="auto" w:fill="C0C0C0"/>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Columbia Basin</w:t>
            </w:r>
          </w:p>
        </w:tc>
        <w:tc>
          <w:tcPr>
            <w:tcW w:w="1099" w:type="dxa"/>
            <w:tcBorders>
              <w:bottom w:val="single" w:sz="6" w:space="0" w:color="000000"/>
            </w:tcBorders>
            <w:shd w:val="clear" w:color="auto" w:fill="C0C0C0"/>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Southern Idaho</w:t>
            </w:r>
          </w:p>
        </w:tc>
        <w:tc>
          <w:tcPr>
            <w:tcW w:w="1197" w:type="dxa"/>
            <w:tcBorders>
              <w:bottom w:val="single" w:sz="6" w:space="0" w:color="000000"/>
            </w:tcBorders>
            <w:shd w:val="clear" w:color="auto" w:fill="C0C0C0"/>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Central Montana</w:t>
            </w:r>
          </w:p>
        </w:tc>
        <w:tc>
          <w:tcPr>
            <w:tcW w:w="1295" w:type="dxa"/>
            <w:tcBorders>
              <w:bottom w:val="single" w:sz="6" w:space="0" w:color="000000"/>
            </w:tcBorders>
            <w:shd w:val="clear" w:color="auto" w:fill="C0C0C0"/>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Southern Alberta</w:t>
            </w:r>
          </w:p>
        </w:tc>
        <w:tc>
          <w:tcPr>
            <w:tcW w:w="1183" w:type="dxa"/>
            <w:tcBorders>
              <w:bottom w:val="single" w:sz="6" w:space="0" w:color="000000"/>
            </w:tcBorders>
            <w:shd w:val="clear" w:color="auto" w:fill="C0C0C0"/>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Eastern Wyoming</w:t>
            </w:r>
          </w:p>
        </w:tc>
      </w:tr>
      <w:tr w:rsidR="00FF5E4C" w:rsidRPr="007F3A91" w:rsidTr="00466B35">
        <w:trPr>
          <w:cantSplit/>
          <w:trHeight w:val="809"/>
          <w:jc w:val="center"/>
        </w:trPr>
        <w:tc>
          <w:tcPr>
            <w:tcW w:w="2418"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 xml:space="preserve">Average annual capacity factor (net plant output) </w:t>
            </w:r>
          </w:p>
        </w:tc>
        <w:tc>
          <w:tcPr>
            <w:tcW w:w="1063"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32%</w:t>
            </w:r>
          </w:p>
        </w:tc>
        <w:tc>
          <w:tcPr>
            <w:tcW w:w="1099"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30%</w:t>
            </w:r>
          </w:p>
        </w:tc>
        <w:tc>
          <w:tcPr>
            <w:tcW w:w="1197"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38%</w:t>
            </w:r>
          </w:p>
        </w:tc>
        <w:tc>
          <w:tcPr>
            <w:tcW w:w="1295"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38%</w:t>
            </w:r>
          </w:p>
        </w:tc>
        <w:tc>
          <w:tcPr>
            <w:tcW w:w="1183" w:type="dxa"/>
            <w:vAlign w:val="bottom"/>
          </w:tcPr>
          <w:p w:rsidR="00FF5E4C" w:rsidRPr="007F3A91" w:rsidRDefault="00FF5E4C" w:rsidP="00466B35">
            <w:pPr>
              <w:pStyle w:val="NoSpacing"/>
              <w:rPr>
                <w:rFonts w:cs="Calibri"/>
                <w:color w:val="000000"/>
                <w:sz w:val="20"/>
                <w:szCs w:val="20"/>
              </w:rPr>
            </w:pPr>
            <w:r w:rsidRPr="007F3A91">
              <w:rPr>
                <w:rFonts w:cs="Calibri"/>
                <w:color w:val="000000"/>
                <w:sz w:val="20"/>
                <w:szCs w:val="20"/>
              </w:rPr>
              <w:t>38%</w:t>
            </w:r>
          </w:p>
        </w:tc>
      </w:tr>
    </w:tbl>
    <w:p w:rsidR="00FF5E4C" w:rsidRPr="007F3A91" w:rsidRDefault="00FF5E4C" w:rsidP="00466B35">
      <w:pPr>
        <w:pStyle w:val="NoSpacing"/>
        <w:rPr>
          <w:rFonts w:cs="Calibri"/>
          <w:color w:val="000000"/>
          <w:sz w:val="20"/>
          <w:szCs w:val="20"/>
        </w:rPr>
      </w:pPr>
    </w:p>
    <w:p w:rsidR="00FF5E4C" w:rsidRPr="007F3A91" w:rsidRDefault="00FF5E4C" w:rsidP="00097CBA">
      <w:pPr>
        <w:pStyle w:val="NoSpacing"/>
        <w:jc w:val="both"/>
        <w:rPr>
          <w:rFonts w:cs="Calibri"/>
          <w:color w:val="000000"/>
          <w:sz w:val="20"/>
          <w:szCs w:val="20"/>
        </w:rPr>
      </w:pPr>
      <w:r w:rsidRPr="007F3A91">
        <w:rPr>
          <w:rFonts w:cs="Calibri"/>
          <w:color w:val="000000"/>
          <w:sz w:val="20"/>
          <w:szCs w:val="20"/>
        </w:rPr>
        <w:t xml:space="preserve">The capacity factors are based on updates of earlier analysis which was in turn, based on a wind data base developed by OSU and on input from the Council’s advisory committee.  The Columbia Basin values approximate the historical BPA wind farm data for 2007-08 (see the analysis in Section </w:t>
      </w:r>
      <w:r>
        <w:rPr>
          <w:rFonts w:cs="Calibri"/>
          <w:color w:val="000000"/>
          <w:sz w:val="20"/>
          <w:szCs w:val="20"/>
        </w:rPr>
        <w:t>B</w:t>
      </w:r>
      <w:r w:rsidRPr="007F3A91">
        <w:rPr>
          <w:rFonts w:cs="Calibri"/>
          <w:color w:val="000000"/>
          <w:sz w:val="20"/>
          <w:szCs w:val="20"/>
        </w:rPr>
        <w:t xml:space="preserve"> “</w:t>
      </w:r>
      <w:r>
        <w:rPr>
          <w:rFonts w:cs="Calibri"/>
          <w:color w:val="000000"/>
          <w:sz w:val="20"/>
          <w:szCs w:val="20"/>
        </w:rPr>
        <w:t>Statistical Modeling of NREL Wind Profiles</w:t>
      </w:r>
      <w:r w:rsidRPr="007F3A91">
        <w:rPr>
          <w:rFonts w:cs="Calibri"/>
          <w:color w:val="000000"/>
          <w:sz w:val="20"/>
          <w:szCs w:val="20"/>
        </w:rPr>
        <w:t xml:space="preserve">” in this paper).  </w:t>
      </w:r>
    </w:p>
    <w:p w:rsidR="00FF5E4C" w:rsidRPr="007F3A91" w:rsidRDefault="00FF5E4C" w:rsidP="00097CBA">
      <w:pPr>
        <w:pStyle w:val="NoSpacing"/>
        <w:jc w:val="both"/>
        <w:rPr>
          <w:rFonts w:cs="Calibri"/>
          <w:color w:val="000000"/>
          <w:sz w:val="20"/>
          <w:szCs w:val="20"/>
        </w:rPr>
      </w:pPr>
    </w:p>
    <w:p w:rsidR="00FF5E4C" w:rsidRDefault="00FF5E4C" w:rsidP="00097CBA">
      <w:pPr>
        <w:pStyle w:val="NoSpacing"/>
        <w:jc w:val="both"/>
        <w:rPr>
          <w:rFonts w:cs="Calibri"/>
          <w:color w:val="000000"/>
          <w:sz w:val="20"/>
          <w:szCs w:val="20"/>
        </w:rPr>
      </w:pPr>
      <w:r w:rsidRPr="007F3A91">
        <w:rPr>
          <w:rFonts w:cs="Calibri"/>
          <w:color w:val="000000"/>
          <w:sz w:val="20"/>
          <w:szCs w:val="20"/>
        </w:rPr>
        <w:t>The analysis also assumes that new transmission capacity is needed to deliver the additional wind generation to loads, though the cost of the new capacity varies from wind location to wind location.  For instance, as highlighted in the table above, the Columbia Basin wind is expected to be transmitted at embedded cost (consistently with the current John Day-McNary expansion), some Montana wind can be delivered for a lower-cost expansion of the existing system and some requires new 500 kV lines.</w:t>
      </w:r>
    </w:p>
    <w:p w:rsidR="00FF5E4C" w:rsidRDefault="00FF5E4C" w:rsidP="00097CBA">
      <w:pPr>
        <w:pStyle w:val="NoSpacing"/>
        <w:jc w:val="both"/>
        <w:rPr>
          <w:rFonts w:cs="Calibri"/>
          <w:color w:val="000000"/>
          <w:sz w:val="20"/>
          <w:szCs w:val="20"/>
        </w:rPr>
      </w:pPr>
    </w:p>
    <w:p w:rsidR="00FF5E4C" w:rsidRPr="005C1756" w:rsidRDefault="00FF5E4C" w:rsidP="00097CBA">
      <w:pPr>
        <w:pStyle w:val="NoSpacing"/>
        <w:jc w:val="both"/>
        <w:rPr>
          <w:rFonts w:cs="Calibri"/>
          <w:color w:val="000000"/>
          <w:sz w:val="20"/>
          <w:szCs w:val="20"/>
        </w:rPr>
      </w:pPr>
      <w:r w:rsidRPr="005C1756">
        <w:rPr>
          <w:rFonts w:cs="Calibri"/>
          <w:color w:val="000000"/>
          <w:sz w:val="20"/>
          <w:szCs w:val="20"/>
        </w:rPr>
        <w:t xml:space="preserve">Figure </w:t>
      </w:r>
      <w:r>
        <w:rPr>
          <w:rFonts w:cs="Calibri"/>
          <w:color w:val="000000"/>
          <w:sz w:val="20"/>
          <w:szCs w:val="20"/>
        </w:rPr>
        <w:t>E-3</w:t>
      </w:r>
      <w:r w:rsidRPr="005C1756">
        <w:rPr>
          <w:rFonts w:cs="Calibri"/>
          <w:color w:val="000000"/>
          <w:sz w:val="20"/>
          <w:szCs w:val="20"/>
        </w:rPr>
        <w:t xml:space="preserve"> below shows the components of the cost for various wind generation origins and delivery points.  </w:t>
      </w:r>
    </w:p>
    <w:p w:rsidR="00FF5E4C" w:rsidRPr="005C1756" w:rsidRDefault="00FF5E4C" w:rsidP="007F3A91">
      <w:pPr>
        <w:pStyle w:val="NoSpacing"/>
        <w:rPr>
          <w:rFonts w:cs="Calibri"/>
          <w:color w:val="000000"/>
          <w:sz w:val="20"/>
          <w:szCs w:val="20"/>
        </w:rPr>
      </w:pPr>
    </w:p>
    <w:p w:rsidR="00FF5E4C" w:rsidRPr="00097CBA" w:rsidRDefault="00FF5E4C" w:rsidP="00097CBA">
      <w:pPr>
        <w:rPr>
          <w:rFonts w:cs="Calibri"/>
          <w:b/>
          <w:color w:val="000000"/>
        </w:rPr>
      </w:pPr>
      <w:r w:rsidRPr="005C1756">
        <w:rPr>
          <w:rFonts w:cs="Calibri"/>
          <w:b/>
          <w:color w:val="000000"/>
        </w:rPr>
        <w:t xml:space="preserve">Figure </w:t>
      </w:r>
      <w:r>
        <w:rPr>
          <w:rFonts w:cs="Calibri"/>
          <w:b/>
          <w:color w:val="000000"/>
        </w:rPr>
        <w:t>E-3</w:t>
      </w:r>
      <w:r w:rsidRPr="00097CBA">
        <w:rPr>
          <w:rFonts w:cs="Calibri"/>
          <w:b/>
          <w:color w:val="000000"/>
        </w:rPr>
        <w:t xml:space="preserve"> </w:t>
      </w:r>
    </w:p>
    <w:p w:rsidR="00FF5E4C" w:rsidRPr="009F3361" w:rsidRDefault="00FF5E4C" w:rsidP="00466B35">
      <w:pPr>
        <w:pStyle w:val="NoSpacing"/>
        <w:rPr>
          <w:rFonts w:cs="Calibri"/>
          <w:color w:val="000000"/>
        </w:rPr>
      </w:pPr>
      <w:r>
        <w:rPr>
          <w:noProof/>
        </w:rPr>
        <w:pict>
          <v:shape id="Picture 2" o:spid="_x0000_s1026" type="#_x0000_t75" style="position:absolute;margin-left:.7pt;margin-top:.05pt;width:6in;height:237.6pt;z-index:251658240;visibility:visible">
            <v:imagedata r:id="rId38" o:title=""/>
          </v:shape>
        </w:pict>
      </w: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rsidP="00466B35">
      <w:pPr>
        <w:pStyle w:val="NoSpacing"/>
        <w:rPr>
          <w:rFonts w:cs="Calibri"/>
          <w:color w:val="000000"/>
        </w:rPr>
      </w:pPr>
    </w:p>
    <w:p w:rsidR="00FF5E4C" w:rsidRPr="009F3361" w:rsidRDefault="00FF5E4C">
      <w:pPr>
        <w:spacing w:after="0" w:line="240" w:lineRule="auto"/>
        <w:rPr>
          <w:rFonts w:cs="Calibri"/>
          <w:color w:val="000000"/>
        </w:rPr>
      </w:pPr>
      <w:r w:rsidRPr="009F3361">
        <w:rPr>
          <w:rFonts w:cs="Calibri"/>
          <w:color w:val="000000"/>
        </w:rPr>
        <w:br w:type="page"/>
      </w:r>
    </w:p>
    <w:p w:rsidR="00FF5E4C" w:rsidRPr="00DE737F" w:rsidRDefault="00FF5E4C" w:rsidP="00DE737F">
      <w:pPr>
        <w:pStyle w:val="Heading2"/>
        <w:rPr>
          <w:rFonts w:ascii="Calibri" w:hAnsi="Calibri" w:cs="Calibri"/>
          <w:color w:val="000000"/>
          <w:sz w:val="22"/>
          <w:szCs w:val="22"/>
        </w:rPr>
      </w:pPr>
      <w:bookmarkStart w:id="11" w:name="_Toc260752702"/>
      <w:r>
        <w:rPr>
          <w:rFonts w:ascii="Calibri" w:hAnsi="Calibri" w:cs="Calibri"/>
          <w:color w:val="000000"/>
          <w:sz w:val="22"/>
          <w:szCs w:val="22"/>
        </w:rPr>
        <w:t xml:space="preserve">NW </w:t>
      </w:r>
      <w:r w:rsidRPr="00DE737F">
        <w:rPr>
          <w:rFonts w:ascii="Calibri" w:hAnsi="Calibri" w:cs="Calibri"/>
          <w:color w:val="000000"/>
          <w:sz w:val="22"/>
          <w:szCs w:val="22"/>
        </w:rPr>
        <w:t xml:space="preserve">WREZ Model </w:t>
      </w:r>
      <w:r>
        <w:rPr>
          <w:rFonts w:ascii="Calibri" w:hAnsi="Calibri" w:cs="Calibri"/>
          <w:color w:val="000000"/>
          <w:sz w:val="22"/>
          <w:szCs w:val="22"/>
        </w:rPr>
        <w:t>and Peer Analysis Tool Studies by LBNL</w:t>
      </w:r>
      <w:bookmarkEnd w:id="11"/>
    </w:p>
    <w:p w:rsidR="00FF5E4C" w:rsidRDefault="00FF5E4C" w:rsidP="007207FC">
      <w:pPr>
        <w:pStyle w:val="Default"/>
        <w:rPr>
          <w:sz w:val="20"/>
          <w:szCs w:val="20"/>
        </w:rPr>
      </w:pPr>
    </w:p>
    <w:p w:rsidR="00FF5E4C" w:rsidRPr="00E26FE8" w:rsidRDefault="00FF5E4C" w:rsidP="00432896">
      <w:pPr>
        <w:pStyle w:val="NoSpacing"/>
        <w:jc w:val="both"/>
        <w:rPr>
          <w:rFonts w:cs="Calibri"/>
          <w:b/>
          <w:sz w:val="20"/>
          <w:szCs w:val="20"/>
        </w:rPr>
      </w:pPr>
      <w:r w:rsidRPr="00E26FE8">
        <w:rPr>
          <w:rFonts w:cs="Calibri"/>
          <w:b/>
          <w:sz w:val="20"/>
          <w:szCs w:val="20"/>
        </w:rPr>
        <w:t xml:space="preserve">WREZ Transmission Cost Estimating and Peer Analysis Tool NW Studies: </w:t>
      </w:r>
    </w:p>
    <w:p w:rsidR="00FF5E4C" w:rsidRPr="00E26FE8" w:rsidRDefault="00FF5E4C" w:rsidP="00432896">
      <w:pPr>
        <w:pStyle w:val="NoSpacing"/>
        <w:jc w:val="both"/>
        <w:rPr>
          <w:rFonts w:cs="Calibri"/>
          <w:b/>
          <w:sz w:val="20"/>
          <w:szCs w:val="20"/>
        </w:rPr>
      </w:pPr>
    </w:p>
    <w:p w:rsidR="00FF5E4C" w:rsidRPr="00E26FE8" w:rsidRDefault="00FF5E4C" w:rsidP="00432896">
      <w:pPr>
        <w:pStyle w:val="NoSpacing"/>
        <w:jc w:val="both"/>
        <w:rPr>
          <w:rFonts w:cs="Calibri"/>
          <w:b/>
          <w:sz w:val="20"/>
          <w:szCs w:val="20"/>
          <w:u w:val="single"/>
        </w:rPr>
      </w:pPr>
      <w:r w:rsidRPr="00E26FE8">
        <w:rPr>
          <w:rFonts w:cs="Calibri"/>
          <w:b/>
          <w:sz w:val="20"/>
          <w:szCs w:val="20"/>
          <w:u w:val="single"/>
        </w:rPr>
        <w:t>Summary:</w:t>
      </w:r>
    </w:p>
    <w:p w:rsidR="00FF5E4C" w:rsidRPr="007207FC" w:rsidRDefault="00FF5E4C" w:rsidP="00432896">
      <w:pPr>
        <w:pStyle w:val="NoSpacing"/>
        <w:jc w:val="both"/>
        <w:rPr>
          <w:rFonts w:cs="Calibri"/>
          <w:sz w:val="20"/>
          <w:szCs w:val="20"/>
        </w:rPr>
      </w:pPr>
      <w:r w:rsidRPr="007207FC">
        <w:rPr>
          <w:rFonts w:cs="Calibri"/>
          <w:sz w:val="20"/>
          <w:szCs w:val="20"/>
        </w:rPr>
        <w:t>The WGA WREZ initiative and Black &amp; Veatch developed the WREZ model to:</w:t>
      </w:r>
    </w:p>
    <w:p w:rsidR="00FF5E4C" w:rsidRPr="007207FC" w:rsidRDefault="00FF5E4C" w:rsidP="00432896">
      <w:pPr>
        <w:pStyle w:val="NoSpacing"/>
        <w:numPr>
          <w:ilvl w:val="0"/>
          <w:numId w:val="5"/>
        </w:numPr>
        <w:jc w:val="both"/>
        <w:rPr>
          <w:rFonts w:cs="Calibri"/>
          <w:sz w:val="20"/>
          <w:szCs w:val="20"/>
        </w:rPr>
      </w:pPr>
      <w:r w:rsidRPr="007207FC">
        <w:rPr>
          <w:rFonts w:cs="Calibri"/>
          <w:sz w:val="20"/>
          <w:szCs w:val="20"/>
        </w:rPr>
        <w:t>Identify high quality renewable energy zones "bubbles" in the West and their respective generation characteristics (shape, capacity factor, etc.)</w:t>
      </w:r>
    </w:p>
    <w:p w:rsidR="00FF5E4C" w:rsidRPr="007207FC" w:rsidRDefault="00FF5E4C" w:rsidP="00432896">
      <w:pPr>
        <w:pStyle w:val="NoSpacing"/>
        <w:numPr>
          <w:ilvl w:val="0"/>
          <w:numId w:val="5"/>
        </w:numPr>
        <w:jc w:val="both"/>
        <w:rPr>
          <w:rFonts w:cs="Calibri"/>
          <w:sz w:val="20"/>
          <w:szCs w:val="20"/>
        </w:rPr>
      </w:pPr>
      <w:r w:rsidRPr="007207FC">
        <w:rPr>
          <w:rFonts w:cs="Calibri"/>
          <w:sz w:val="20"/>
          <w:szCs w:val="20"/>
        </w:rPr>
        <w:t>Estimate the cost of incremental (above existing) transmission additions needed to deliver the full amount of new incremental resources from REZs over likely routes to load zones.</w:t>
      </w:r>
    </w:p>
    <w:p w:rsidR="00FF5E4C" w:rsidRPr="007207FC" w:rsidRDefault="00FF5E4C" w:rsidP="00432896">
      <w:pPr>
        <w:pStyle w:val="NoSpacing"/>
        <w:numPr>
          <w:ilvl w:val="0"/>
          <w:numId w:val="5"/>
        </w:numPr>
        <w:jc w:val="both"/>
        <w:rPr>
          <w:rFonts w:cs="Calibri"/>
          <w:sz w:val="20"/>
          <w:szCs w:val="20"/>
        </w:rPr>
      </w:pPr>
      <w:r w:rsidRPr="007207FC">
        <w:rPr>
          <w:rFonts w:cs="Calibri"/>
          <w:sz w:val="20"/>
          <w:szCs w:val="20"/>
        </w:rPr>
        <w:t>Estimate the full delivered cost of new incremental renewables (above existing) to load centers (including transmission amortized capital costs).</w:t>
      </w:r>
    </w:p>
    <w:p w:rsidR="00FF5E4C" w:rsidRPr="007207FC" w:rsidRDefault="00FF5E4C" w:rsidP="00432896">
      <w:pPr>
        <w:pStyle w:val="NoSpacing"/>
        <w:jc w:val="both"/>
        <w:rPr>
          <w:rFonts w:cs="Calibri"/>
          <w:sz w:val="20"/>
          <w:szCs w:val="20"/>
        </w:rPr>
      </w:pPr>
    </w:p>
    <w:p w:rsidR="00FF5E4C" w:rsidRPr="007207FC" w:rsidRDefault="00FF5E4C" w:rsidP="00432896">
      <w:pPr>
        <w:pStyle w:val="NoSpacing"/>
        <w:jc w:val="both"/>
        <w:rPr>
          <w:rFonts w:cs="Calibri"/>
          <w:sz w:val="20"/>
          <w:szCs w:val="20"/>
        </w:rPr>
      </w:pPr>
      <w:r w:rsidRPr="007207FC">
        <w:rPr>
          <w:rFonts w:cs="Calibri"/>
          <w:sz w:val="20"/>
          <w:szCs w:val="20"/>
        </w:rPr>
        <w:t>The initiative also developed a Peer Analysis Tool (PAT) to automatically develop optimized delivered energy supply curves for various load areas, and including the effects of multiple load areas in competition for high quality renewables to meet increasing RPS requirements. This allows the identification and comparison of the cost and value of renewable resources delive</w:t>
      </w:r>
      <w:r>
        <w:rPr>
          <w:rFonts w:cs="Calibri"/>
          <w:sz w:val="20"/>
          <w:szCs w:val="20"/>
        </w:rPr>
        <w:t xml:space="preserve">red to load zones from various </w:t>
      </w:r>
      <w:r w:rsidRPr="007207FC">
        <w:rPr>
          <w:rFonts w:cs="Calibri"/>
          <w:sz w:val="20"/>
          <w:szCs w:val="20"/>
        </w:rPr>
        <w:t>REZs.  It also allows the development of a ranking of the m</w:t>
      </w:r>
      <w:r>
        <w:rPr>
          <w:rFonts w:cs="Calibri"/>
          <w:sz w:val="20"/>
          <w:szCs w:val="20"/>
        </w:rPr>
        <w:t xml:space="preserve">ost desirable </w:t>
      </w:r>
      <w:r w:rsidRPr="007207FC">
        <w:rPr>
          <w:rFonts w:cs="Calibri"/>
          <w:sz w:val="20"/>
          <w:szCs w:val="20"/>
        </w:rPr>
        <w:t xml:space="preserve">REZs by individual Load Zones when load zones compete for resources. </w:t>
      </w:r>
    </w:p>
    <w:p w:rsidR="00FF5E4C" w:rsidRPr="007207FC" w:rsidRDefault="00FF5E4C" w:rsidP="00432896">
      <w:pPr>
        <w:pStyle w:val="NoSpacing"/>
        <w:jc w:val="both"/>
        <w:rPr>
          <w:rFonts w:cs="Calibri"/>
          <w:sz w:val="20"/>
          <w:szCs w:val="20"/>
        </w:rPr>
      </w:pPr>
    </w:p>
    <w:p w:rsidR="00FF5E4C" w:rsidRPr="007207FC" w:rsidRDefault="00FF5E4C" w:rsidP="00432896">
      <w:pPr>
        <w:pStyle w:val="NoSpacing"/>
        <w:jc w:val="both"/>
        <w:rPr>
          <w:rFonts w:cs="Calibri"/>
          <w:sz w:val="20"/>
          <w:szCs w:val="20"/>
        </w:rPr>
      </w:pPr>
      <w:r w:rsidRPr="007207FC">
        <w:rPr>
          <w:rFonts w:cs="Calibri"/>
          <w:sz w:val="20"/>
          <w:szCs w:val="20"/>
        </w:rPr>
        <w:t>The LBNL used the PAT to compare the adjusted delivered cost (full delivered costs including transmission and collection system bus bar costs (adjusted for integration costs, energy value, and capacity value) of renewables delivered to NW load centers of:</w:t>
      </w:r>
    </w:p>
    <w:p w:rsidR="00FF5E4C" w:rsidRPr="007207FC" w:rsidRDefault="00FF5E4C" w:rsidP="00432896">
      <w:pPr>
        <w:pStyle w:val="NoSpacing"/>
        <w:numPr>
          <w:ilvl w:val="0"/>
          <w:numId w:val="6"/>
        </w:numPr>
        <w:jc w:val="both"/>
        <w:rPr>
          <w:rFonts w:cs="Calibri"/>
          <w:sz w:val="20"/>
          <w:szCs w:val="20"/>
        </w:rPr>
      </w:pPr>
      <w:r w:rsidRPr="007207FC">
        <w:rPr>
          <w:rFonts w:cs="Calibri"/>
          <w:sz w:val="20"/>
          <w:szCs w:val="20"/>
        </w:rPr>
        <w:t xml:space="preserve">Portland, </w:t>
      </w:r>
    </w:p>
    <w:p w:rsidR="00FF5E4C" w:rsidRPr="007207FC" w:rsidRDefault="00FF5E4C" w:rsidP="00432896">
      <w:pPr>
        <w:pStyle w:val="NoSpacing"/>
        <w:numPr>
          <w:ilvl w:val="0"/>
          <w:numId w:val="6"/>
        </w:numPr>
        <w:jc w:val="both"/>
        <w:rPr>
          <w:rFonts w:cs="Calibri"/>
          <w:sz w:val="20"/>
          <w:szCs w:val="20"/>
        </w:rPr>
      </w:pPr>
      <w:r w:rsidRPr="007207FC">
        <w:rPr>
          <w:rFonts w:cs="Calibri"/>
          <w:sz w:val="20"/>
          <w:szCs w:val="20"/>
        </w:rPr>
        <w:t xml:space="preserve">Seattle, </w:t>
      </w:r>
    </w:p>
    <w:p w:rsidR="00FF5E4C" w:rsidRPr="007207FC" w:rsidRDefault="00FF5E4C" w:rsidP="00432896">
      <w:pPr>
        <w:pStyle w:val="NoSpacing"/>
        <w:numPr>
          <w:ilvl w:val="0"/>
          <w:numId w:val="6"/>
        </w:numPr>
        <w:jc w:val="both"/>
        <w:rPr>
          <w:rFonts w:cs="Calibri"/>
          <w:sz w:val="20"/>
          <w:szCs w:val="20"/>
        </w:rPr>
      </w:pPr>
      <w:r w:rsidRPr="007207FC">
        <w:rPr>
          <w:rFonts w:cs="Calibri"/>
          <w:sz w:val="20"/>
          <w:szCs w:val="20"/>
        </w:rPr>
        <w:t xml:space="preserve">Spokane </w:t>
      </w:r>
    </w:p>
    <w:p w:rsidR="00FF5E4C" w:rsidRPr="007207FC" w:rsidRDefault="00FF5E4C" w:rsidP="00432896">
      <w:pPr>
        <w:pStyle w:val="NoSpacing"/>
        <w:jc w:val="both"/>
        <w:rPr>
          <w:rFonts w:cs="Calibri"/>
          <w:sz w:val="20"/>
          <w:szCs w:val="20"/>
        </w:rPr>
      </w:pPr>
    </w:p>
    <w:p w:rsidR="00FF5E4C" w:rsidRDefault="00FF5E4C" w:rsidP="00432896">
      <w:pPr>
        <w:pStyle w:val="NoSpacing"/>
        <w:jc w:val="both"/>
        <w:rPr>
          <w:rFonts w:cs="Calibri"/>
          <w:sz w:val="20"/>
          <w:szCs w:val="20"/>
        </w:rPr>
      </w:pPr>
      <w:r w:rsidRPr="007207FC">
        <w:rPr>
          <w:rFonts w:cs="Calibri"/>
          <w:sz w:val="20"/>
          <w:szCs w:val="20"/>
        </w:rPr>
        <w:t>And generated in WREZ zones:</w:t>
      </w:r>
    </w:p>
    <w:p w:rsidR="00FF5E4C" w:rsidRDefault="00FF5E4C" w:rsidP="000F4953">
      <w:pPr>
        <w:pStyle w:val="NoSpacing"/>
        <w:numPr>
          <w:ilvl w:val="0"/>
          <w:numId w:val="41"/>
        </w:numPr>
        <w:jc w:val="both"/>
        <w:rPr>
          <w:rFonts w:cs="Calibri"/>
          <w:sz w:val="20"/>
          <w:szCs w:val="20"/>
        </w:rPr>
      </w:pPr>
      <w:r>
        <w:rPr>
          <w:rFonts w:cs="Calibri"/>
          <w:sz w:val="20"/>
          <w:szCs w:val="20"/>
        </w:rPr>
        <w:t>Local</w:t>
      </w:r>
    </w:p>
    <w:p w:rsidR="00FF5E4C" w:rsidRDefault="00FF5E4C" w:rsidP="000F4953">
      <w:pPr>
        <w:pStyle w:val="NoSpacing"/>
        <w:numPr>
          <w:ilvl w:val="1"/>
          <w:numId w:val="41"/>
        </w:numPr>
        <w:jc w:val="both"/>
        <w:rPr>
          <w:rFonts w:cs="Calibri"/>
          <w:sz w:val="20"/>
          <w:szCs w:val="20"/>
        </w:rPr>
      </w:pPr>
      <w:r>
        <w:rPr>
          <w:rFonts w:cs="Calibri"/>
          <w:sz w:val="20"/>
          <w:szCs w:val="20"/>
        </w:rPr>
        <w:t>WA/OR/NV</w:t>
      </w:r>
    </w:p>
    <w:p w:rsidR="00FF5E4C" w:rsidRDefault="00FF5E4C" w:rsidP="000F4953">
      <w:pPr>
        <w:pStyle w:val="NoSpacing"/>
        <w:numPr>
          <w:ilvl w:val="1"/>
          <w:numId w:val="41"/>
        </w:numPr>
        <w:jc w:val="both"/>
        <w:rPr>
          <w:rFonts w:cs="Calibri"/>
          <w:sz w:val="20"/>
          <w:szCs w:val="20"/>
        </w:rPr>
      </w:pPr>
      <w:r>
        <w:rPr>
          <w:rFonts w:cs="Calibri"/>
          <w:sz w:val="20"/>
          <w:szCs w:val="20"/>
        </w:rPr>
        <w:t>BC close zones</w:t>
      </w:r>
    </w:p>
    <w:p w:rsidR="00FF5E4C" w:rsidRDefault="00FF5E4C" w:rsidP="000F4953">
      <w:pPr>
        <w:pStyle w:val="NoSpacing"/>
        <w:numPr>
          <w:ilvl w:val="0"/>
          <w:numId w:val="41"/>
        </w:numPr>
        <w:jc w:val="both"/>
        <w:rPr>
          <w:rFonts w:cs="Calibri"/>
          <w:sz w:val="20"/>
          <w:szCs w:val="20"/>
        </w:rPr>
      </w:pPr>
      <w:r>
        <w:rPr>
          <w:rFonts w:cs="Calibri"/>
          <w:sz w:val="20"/>
          <w:szCs w:val="20"/>
        </w:rPr>
        <w:t>Remote</w:t>
      </w:r>
    </w:p>
    <w:p w:rsidR="00FF5E4C" w:rsidRDefault="00FF5E4C" w:rsidP="000F4953">
      <w:pPr>
        <w:pStyle w:val="NoSpacing"/>
        <w:numPr>
          <w:ilvl w:val="1"/>
          <w:numId w:val="41"/>
        </w:numPr>
        <w:jc w:val="both"/>
        <w:rPr>
          <w:rFonts w:cs="Calibri"/>
          <w:sz w:val="20"/>
          <w:szCs w:val="20"/>
        </w:rPr>
      </w:pPr>
      <w:r>
        <w:rPr>
          <w:rFonts w:cs="Calibri"/>
          <w:sz w:val="20"/>
          <w:szCs w:val="20"/>
        </w:rPr>
        <w:t>Montana</w:t>
      </w:r>
    </w:p>
    <w:p w:rsidR="00FF5E4C" w:rsidRDefault="00FF5E4C" w:rsidP="000F4953">
      <w:pPr>
        <w:pStyle w:val="NoSpacing"/>
        <w:numPr>
          <w:ilvl w:val="1"/>
          <w:numId w:val="41"/>
        </w:numPr>
        <w:jc w:val="both"/>
        <w:rPr>
          <w:rFonts w:cs="Calibri"/>
          <w:sz w:val="20"/>
          <w:szCs w:val="20"/>
        </w:rPr>
      </w:pPr>
      <w:r>
        <w:rPr>
          <w:rFonts w:cs="Calibri"/>
          <w:sz w:val="20"/>
          <w:szCs w:val="20"/>
        </w:rPr>
        <w:t>Wyoming</w:t>
      </w:r>
    </w:p>
    <w:p w:rsidR="00FF5E4C" w:rsidRDefault="00FF5E4C" w:rsidP="00432896">
      <w:pPr>
        <w:pStyle w:val="NoSpacing"/>
        <w:jc w:val="both"/>
        <w:rPr>
          <w:rFonts w:cs="Calibri"/>
          <w:sz w:val="20"/>
          <w:szCs w:val="20"/>
        </w:rPr>
      </w:pPr>
    </w:p>
    <w:p w:rsidR="00FF5E4C" w:rsidRPr="007207FC" w:rsidRDefault="00FF5E4C" w:rsidP="00432896">
      <w:pPr>
        <w:pStyle w:val="NoSpacing"/>
        <w:jc w:val="both"/>
        <w:rPr>
          <w:rFonts w:cs="Calibri"/>
          <w:sz w:val="20"/>
          <w:szCs w:val="20"/>
        </w:rPr>
      </w:pPr>
      <w:r w:rsidRPr="007207FC">
        <w:rPr>
          <w:rFonts w:cs="Calibri"/>
          <w:sz w:val="20"/>
          <w:szCs w:val="20"/>
        </w:rPr>
        <w:t>The PAT developed a set of supply curves for Portland, Seattle, and Spokane showing full adjusted delivered costs of supplying increasing amounts of renewable energy required to meet RPS levels beginning with the starting point with existing RPS amounts of renewables and moving to 33% in 2029.</w:t>
      </w:r>
    </w:p>
    <w:p w:rsidR="00FF5E4C" w:rsidRPr="007207FC" w:rsidRDefault="00FF5E4C" w:rsidP="00432896">
      <w:pPr>
        <w:pStyle w:val="NoSpacing"/>
        <w:jc w:val="both"/>
        <w:rPr>
          <w:rFonts w:cs="Calibri"/>
          <w:sz w:val="20"/>
          <w:szCs w:val="20"/>
        </w:rPr>
      </w:pPr>
    </w:p>
    <w:p w:rsidR="00FF5E4C" w:rsidRPr="007207FC" w:rsidRDefault="00FF5E4C" w:rsidP="00432896">
      <w:pPr>
        <w:pStyle w:val="NoSpacing"/>
        <w:jc w:val="both"/>
        <w:rPr>
          <w:rFonts w:cs="Calibri"/>
          <w:sz w:val="20"/>
          <w:szCs w:val="20"/>
        </w:rPr>
      </w:pPr>
      <w:r w:rsidRPr="007207FC">
        <w:rPr>
          <w:rFonts w:cs="Calibri"/>
          <w:sz w:val="20"/>
          <w:szCs w:val="20"/>
        </w:rPr>
        <w:t xml:space="preserve">It also developed a matrix of the three most desirable and economic renewable energy zones that various load centers in the West could most economically obtain renewable energy from. </w:t>
      </w:r>
    </w:p>
    <w:p w:rsidR="00FF5E4C" w:rsidRPr="007207FC" w:rsidRDefault="00FF5E4C" w:rsidP="00432896">
      <w:pPr>
        <w:pStyle w:val="NoSpacing"/>
        <w:jc w:val="both"/>
        <w:rPr>
          <w:rFonts w:cs="Calibri"/>
          <w:sz w:val="20"/>
          <w:szCs w:val="20"/>
        </w:rPr>
      </w:pPr>
    </w:p>
    <w:p w:rsidR="00FF5E4C" w:rsidRPr="007207FC" w:rsidRDefault="00FF5E4C" w:rsidP="00432896">
      <w:pPr>
        <w:pStyle w:val="NoSpacing"/>
        <w:jc w:val="both"/>
        <w:rPr>
          <w:rFonts w:cs="Calibri"/>
          <w:sz w:val="20"/>
          <w:szCs w:val="20"/>
        </w:rPr>
      </w:pPr>
      <w:r w:rsidRPr="007207FC">
        <w:rPr>
          <w:rFonts w:cs="Calibri"/>
          <w:sz w:val="20"/>
          <w:szCs w:val="20"/>
        </w:rPr>
        <w:t xml:space="preserve">Various assumptions were made including capital financing options, tax credits, integration costs, transmission costs, CO2, fuel, etc. </w:t>
      </w:r>
    </w:p>
    <w:p w:rsidR="00FF5E4C" w:rsidRPr="007207FC" w:rsidRDefault="00FF5E4C" w:rsidP="00432896">
      <w:pPr>
        <w:pStyle w:val="NoSpacing"/>
        <w:jc w:val="both"/>
        <w:rPr>
          <w:rFonts w:cs="Calibri"/>
          <w:sz w:val="20"/>
          <w:szCs w:val="20"/>
        </w:rPr>
      </w:pPr>
    </w:p>
    <w:p w:rsidR="00FF5E4C" w:rsidRPr="007207FC" w:rsidRDefault="00FF5E4C" w:rsidP="00432896">
      <w:pPr>
        <w:pStyle w:val="NoSpacing"/>
        <w:jc w:val="both"/>
        <w:rPr>
          <w:rFonts w:cs="Calibri"/>
          <w:sz w:val="20"/>
          <w:szCs w:val="20"/>
        </w:rPr>
      </w:pPr>
      <w:r w:rsidRPr="007207FC">
        <w:rPr>
          <w:rFonts w:cs="Calibri"/>
          <w:sz w:val="20"/>
          <w:szCs w:val="20"/>
        </w:rPr>
        <w:t>The results indicated that:</w:t>
      </w:r>
    </w:p>
    <w:p w:rsidR="00FF5E4C" w:rsidRPr="007207FC" w:rsidRDefault="00FF5E4C" w:rsidP="00432896">
      <w:pPr>
        <w:pStyle w:val="NoSpacing"/>
        <w:numPr>
          <w:ilvl w:val="0"/>
          <w:numId w:val="9"/>
        </w:numPr>
        <w:jc w:val="both"/>
        <w:rPr>
          <w:rFonts w:cs="Calibri"/>
          <w:sz w:val="20"/>
          <w:szCs w:val="20"/>
        </w:rPr>
      </w:pPr>
      <w:r w:rsidRPr="007207FC">
        <w:rPr>
          <w:rFonts w:cs="Calibri"/>
          <w:sz w:val="20"/>
          <w:szCs w:val="20"/>
        </w:rPr>
        <w:t>RPS requirements cause the Oregon and Washington Load Areas to seek additional energy resources from renewables:</w:t>
      </w:r>
    </w:p>
    <w:p w:rsidR="00FF5E4C" w:rsidRPr="007207FC" w:rsidRDefault="00FF5E4C" w:rsidP="00432896">
      <w:pPr>
        <w:pStyle w:val="NoSpacing"/>
        <w:numPr>
          <w:ilvl w:val="0"/>
          <w:numId w:val="8"/>
        </w:numPr>
        <w:jc w:val="both"/>
        <w:rPr>
          <w:rFonts w:cs="Calibri"/>
          <w:sz w:val="20"/>
          <w:szCs w:val="20"/>
        </w:rPr>
      </w:pPr>
      <w:r w:rsidRPr="007207FC">
        <w:rPr>
          <w:rFonts w:cs="Calibri"/>
          <w:sz w:val="20"/>
          <w:szCs w:val="20"/>
        </w:rPr>
        <w:t>Portland</w:t>
      </w:r>
      <w:r>
        <w:rPr>
          <w:rFonts w:cs="Calibri"/>
          <w:sz w:val="20"/>
          <w:szCs w:val="20"/>
        </w:rPr>
        <w:t xml:space="preserve"> 8.6 TWh</w:t>
      </w:r>
      <w:r w:rsidRPr="007207FC">
        <w:rPr>
          <w:rFonts w:cs="Calibri"/>
          <w:sz w:val="20"/>
          <w:szCs w:val="20"/>
        </w:rPr>
        <w:t>/year RPS demand by 2029</w:t>
      </w:r>
    </w:p>
    <w:p w:rsidR="00FF5E4C" w:rsidRPr="007207FC" w:rsidRDefault="00FF5E4C" w:rsidP="00432896">
      <w:pPr>
        <w:pStyle w:val="NoSpacing"/>
        <w:numPr>
          <w:ilvl w:val="0"/>
          <w:numId w:val="8"/>
        </w:numPr>
        <w:jc w:val="both"/>
        <w:rPr>
          <w:rFonts w:cs="Calibri"/>
          <w:sz w:val="20"/>
          <w:szCs w:val="20"/>
        </w:rPr>
      </w:pPr>
      <w:r w:rsidRPr="007207FC">
        <w:rPr>
          <w:rFonts w:cs="Calibri"/>
          <w:sz w:val="20"/>
          <w:szCs w:val="20"/>
        </w:rPr>
        <w:t>Seattle</w:t>
      </w:r>
      <w:r>
        <w:rPr>
          <w:rFonts w:cs="Calibri"/>
          <w:sz w:val="20"/>
          <w:szCs w:val="20"/>
        </w:rPr>
        <w:t xml:space="preserve"> 10.5 TWh</w:t>
      </w:r>
      <w:r w:rsidRPr="007207FC">
        <w:rPr>
          <w:rFonts w:cs="Calibri"/>
          <w:sz w:val="20"/>
          <w:szCs w:val="20"/>
        </w:rPr>
        <w:t>/year RPS demand by 2029</w:t>
      </w:r>
    </w:p>
    <w:p w:rsidR="00FF5E4C" w:rsidRPr="007207FC" w:rsidRDefault="00FF5E4C" w:rsidP="00432896">
      <w:pPr>
        <w:pStyle w:val="NoSpacing"/>
        <w:numPr>
          <w:ilvl w:val="0"/>
          <w:numId w:val="8"/>
        </w:numPr>
        <w:jc w:val="both"/>
        <w:rPr>
          <w:rFonts w:cs="Calibri"/>
          <w:sz w:val="20"/>
          <w:szCs w:val="20"/>
        </w:rPr>
      </w:pPr>
      <w:r w:rsidRPr="007207FC">
        <w:rPr>
          <w:rFonts w:cs="Calibri"/>
          <w:sz w:val="20"/>
          <w:szCs w:val="20"/>
        </w:rPr>
        <w:t>Spokane</w:t>
      </w:r>
      <w:r>
        <w:rPr>
          <w:rFonts w:cs="Calibri"/>
          <w:sz w:val="20"/>
          <w:szCs w:val="20"/>
        </w:rPr>
        <w:t xml:space="preserve"> 1.5 TWh</w:t>
      </w:r>
      <w:r w:rsidRPr="007207FC">
        <w:rPr>
          <w:rFonts w:cs="Calibri"/>
          <w:sz w:val="20"/>
          <w:szCs w:val="20"/>
        </w:rPr>
        <w:t>/year RPS demand by 2029</w:t>
      </w:r>
    </w:p>
    <w:p w:rsidR="00FF5E4C" w:rsidRDefault="00FF5E4C" w:rsidP="00432896">
      <w:pPr>
        <w:pStyle w:val="NoSpacing"/>
        <w:jc w:val="both"/>
        <w:rPr>
          <w:rFonts w:cs="Calibri"/>
          <w:sz w:val="20"/>
          <w:szCs w:val="20"/>
        </w:rPr>
      </w:pPr>
    </w:p>
    <w:p w:rsidR="00FF5E4C" w:rsidRPr="007207FC" w:rsidRDefault="00FF5E4C" w:rsidP="00432896">
      <w:pPr>
        <w:pStyle w:val="NoSpacing"/>
        <w:jc w:val="both"/>
        <w:rPr>
          <w:rFonts w:cs="Calibri"/>
          <w:sz w:val="20"/>
          <w:szCs w:val="20"/>
        </w:rPr>
      </w:pPr>
      <w:r w:rsidRPr="007207FC">
        <w:rPr>
          <w:rFonts w:cs="Calibri"/>
          <w:sz w:val="20"/>
          <w:szCs w:val="20"/>
        </w:rPr>
        <w:t>The most economical REZs to obtain increasing supply for Oregon and Washington are in order:</w:t>
      </w:r>
    </w:p>
    <w:p w:rsidR="00FF5E4C" w:rsidRPr="007207FC" w:rsidRDefault="00FF5E4C" w:rsidP="00432896">
      <w:pPr>
        <w:pStyle w:val="NoSpacing"/>
        <w:numPr>
          <w:ilvl w:val="0"/>
          <w:numId w:val="10"/>
        </w:numPr>
        <w:jc w:val="both"/>
        <w:rPr>
          <w:rFonts w:cs="Calibri"/>
          <w:sz w:val="20"/>
          <w:szCs w:val="20"/>
        </w:rPr>
      </w:pPr>
      <w:r w:rsidRPr="007207FC">
        <w:rPr>
          <w:rFonts w:cs="Calibri"/>
          <w:sz w:val="20"/>
          <w:szCs w:val="20"/>
        </w:rPr>
        <w:t xml:space="preserve">Oregon and Washington, </w:t>
      </w:r>
    </w:p>
    <w:p w:rsidR="00FF5E4C" w:rsidRPr="007207FC" w:rsidRDefault="00FF5E4C" w:rsidP="00432896">
      <w:pPr>
        <w:pStyle w:val="NoSpacing"/>
        <w:numPr>
          <w:ilvl w:val="0"/>
          <w:numId w:val="10"/>
        </w:numPr>
        <w:jc w:val="both"/>
        <w:rPr>
          <w:rFonts w:cs="Calibri"/>
          <w:sz w:val="20"/>
          <w:szCs w:val="20"/>
        </w:rPr>
      </w:pPr>
      <w:r w:rsidRPr="007207FC">
        <w:rPr>
          <w:rFonts w:cs="Calibri"/>
          <w:sz w:val="20"/>
          <w:szCs w:val="20"/>
        </w:rPr>
        <w:t xml:space="preserve">BC or central Montana, </w:t>
      </w:r>
    </w:p>
    <w:p w:rsidR="00FF5E4C" w:rsidRPr="007207FC" w:rsidRDefault="00FF5E4C" w:rsidP="00432896">
      <w:pPr>
        <w:pStyle w:val="NoSpacing"/>
        <w:numPr>
          <w:ilvl w:val="0"/>
          <w:numId w:val="10"/>
        </w:numPr>
        <w:jc w:val="both"/>
        <w:rPr>
          <w:rFonts w:cs="Calibri"/>
          <w:sz w:val="20"/>
          <w:szCs w:val="20"/>
        </w:rPr>
      </w:pPr>
      <w:r w:rsidRPr="007207FC">
        <w:rPr>
          <w:rFonts w:cs="Calibri"/>
          <w:sz w:val="20"/>
          <w:szCs w:val="20"/>
        </w:rPr>
        <w:t xml:space="preserve">Wyoming wind </w:t>
      </w:r>
    </w:p>
    <w:p w:rsidR="00FF5E4C" w:rsidRDefault="00FF5E4C" w:rsidP="00432896">
      <w:pPr>
        <w:pStyle w:val="NoSpacing"/>
        <w:jc w:val="both"/>
        <w:rPr>
          <w:rFonts w:cs="Calibri"/>
          <w:sz w:val="20"/>
          <w:szCs w:val="20"/>
        </w:rPr>
      </w:pPr>
    </w:p>
    <w:p w:rsidR="00FF5E4C" w:rsidRDefault="00FF5E4C" w:rsidP="00432896">
      <w:pPr>
        <w:pStyle w:val="NoSpacing"/>
        <w:jc w:val="both"/>
        <w:rPr>
          <w:rFonts w:cs="Calibri"/>
          <w:sz w:val="20"/>
          <w:szCs w:val="20"/>
        </w:rPr>
      </w:pPr>
      <w:r w:rsidRPr="007207FC">
        <w:rPr>
          <w:rFonts w:cs="Calibri"/>
          <w:sz w:val="20"/>
          <w:szCs w:val="20"/>
        </w:rPr>
        <w:t>This would indicate that for the given modeling assumptions, local wind development is more economic that remote wind for the Oregon and Washington load areas based on the incremental cost of delivered new renewable energy.</w:t>
      </w:r>
    </w:p>
    <w:p w:rsidR="00FF5E4C" w:rsidRPr="007207FC" w:rsidRDefault="00FF5E4C" w:rsidP="00432896">
      <w:pPr>
        <w:pStyle w:val="NoSpacing"/>
        <w:jc w:val="both"/>
        <w:rPr>
          <w:rFonts w:cs="Calibri"/>
          <w:sz w:val="20"/>
          <w:szCs w:val="20"/>
        </w:rPr>
      </w:pPr>
    </w:p>
    <w:p w:rsidR="00FF5E4C" w:rsidRPr="00E26FE8" w:rsidRDefault="00FF5E4C" w:rsidP="00432896">
      <w:pPr>
        <w:pStyle w:val="NoSpacing"/>
        <w:jc w:val="both"/>
        <w:rPr>
          <w:rFonts w:cs="Calibri"/>
          <w:b/>
          <w:sz w:val="20"/>
          <w:szCs w:val="20"/>
          <w:u w:val="single"/>
        </w:rPr>
      </w:pPr>
      <w:r w:rsidRPr="00E26FE8">
        <w:rPr>
          <w:rFonts w:cs="Calibri"/>
          <w:b/>
          <w:sz w:val="20"/>
          <w:szCs w:val="20"/>
          <w:u w:val="single"/>
        </w:rPr>
        <w:t>Model:</w:t>
      </w:r>
    </w:p>
    <w:p w:rsidR="00FF5E4C" w:rsidRDefault="00FF5E4C" w:rsidP="00432896">
      <w:pPr>
        <w:pStyle w:val="NoSpacing"/>
        <w:jc w:val="both"/>
        <w:rPr>
          <w:rFonts w:cs="Calibri"/>
          <w:sz w:val="20"/>
          <w:szCs w:val="20"/>
        </w:rPr>
      </w:pPr>
      <w:r w:rsidRPr="007207FC">
        <w:rPr>
          <w:rFonts w:cs="Calibri"/>
          <w:sz w:val="20"/>
          <w:szCs w:val="20"/>
        </w:rPr>
        <w:t>The model is available on the Western Governors’ Web site at</w:t>
      </w:r>
      <w:r>
        <w:rPr>
          <w:rFonts w:cs="Calibri"/>
          <w:sz w:val="20"/>
          <w:szCs w:val="20"/>
        </w:rPr>
        <w:t>:</w:t>
      </w:r>
    </w:p>
    <w:p w:rsidR="00FF5E4C" w:rsidRDefault="00FF5E4C" w:rsidP="00432896">
      <w:pPr>
        <w:pStyle w:val="NoSpacing"/>
        <w:jc w:val="both"/>
        <w:rPr>
          <w:rFonts w:cs="Calibri"/>
          <w:sz w:val="20"/>
          <w:szCs w:val="20"/>
        </w:rPr>
      </w:pPr>
      <w:r w:rsidRPr="007207FC">
        <w:rPr>
          <w:rFonts w:cs="Calibri"/>
          <w:sz w:val="20"/>
          <w:szCs w:val="20"/>
        </w:rPr>
        <w:t xml:space="preserve"> </w:t>
      </w:r>
      <w:hyperlink r:id="rId39" w:history="1">
        <w:r w:rsidRPr="007207FC">
          <w:rPr>
            <w:rStyle w:val="Hyperlink"/>
            <w:rFonts w:cs="Calibri"/>
            <w:sz w:val="20"/>
            <w:szCs w:val="20"/>
          </w:rPr>
          <w:t>http://www.westgov.org/wga/initiatives/wrez/gtm/model.htm</w:t>
        </w:r>
      </w:hyperlink>
      <w:r w:rsidRPr="007207FC">
        <w:rPr>
          <w:rFonts w:cs="Calibri"/>
          <w:sz w:val="20"/>
          <w:szCs w:val="20"/>
        </w:rPr>
        <w:t xml:space="preserve">), </w:t>
      </w:r>
    </w:p>
    <w:p w:rsidR="00FF5E4C" w:rsidRDefault="00FF5E4C" w:rsidP="00432896">
      <w:pPr>
        <w:pStyle w:val="NoSpacing"/>
        <w:jc w:val="both"/>
        <w:rPr>
          <w:rFonts w:cs="Calibri"/>
          <w:sz w:val="20"/>
          <w:szCs w:val="20"/>
        </w:rPr>
      </w:pPr>
    </w:p>
    <w:p w:rsidR="00FF5E4C" w:rsidRPr="007207FC" w:rsidRDefault="00FF5E4C" w:rsidP="00CB69F0">
      <w:pPr>
        <w:pStyle w:val="NoSpacing"/>
        <w:jc w:val="both"/>
        <w:rPr>
          <w:rFonts w:cs="Calibri"/>
          <w:sz w:val="20"/>
          <w:szCs w:val="20"/>
        </w:rPr>
      </w:pPr>
      <w:r>
        <w:rPr>
          <w:rFonts w:cs="Calibri"/>
          <w:sz w:val="20"/>
          <w:szCs w:val="20"/>
        </w:rPr>
        <w:t xml:space="preserve">It </w:t>
      </w:r>
      <w:r w:rsidRPr="007207FC">
        <w:rPr>
          <w:rFonts w:cs="Calibri"/>
          <w:sz w:val="20"/>
          <w:szCs w:val="20"/>
        </w:rPr>
        <w:t>is built using Microsoft Excel.  It calculates the full delivered incremental cost to deliver incremental additions of renewables from various renewable zones in the West.  It allows specification of load zones, resources and transmission routes, then calculates full delivered costs of resources for comparison of scenarios.</w:t>
      </w:r>
    </w:p>
    <w:p w:rsidR="00FF5E4C" w:rsidRDefault="00FF5E4C" w:rsidP="00CB69F0">
      <w:pPr>
        <w:pStyle w:val="NoSpacing"/>
        <w:jc w:val="both"/>
        <w:rPr>
          <w:rFonts w:cs="Calibri"/>
          <w:sz w:val="20"/>
          <w:szCs w:val="20"/>
        </w:rPr>
      </w:pPr>
    </w:p>
    <w:p w:rsidR="00FF5E4C" w:rsidRPr="007207FC" w:rsidRDefault="00FF5E4C" w:rsidP="00CB69F0">
      <w:pPr>
        <w:pStyle w:val="NoSpacing"/>
        <w:jc w:val="both"/>
        <w:rPr>
          <w:rFonts w:cs="Calibri"/>
          <w:sz w:val="20"/>
          <w:szCs w:val="20"/>
        </w:rPr>
      </w:pPr>
      <w:r w:rsidRPr="007207FC">
        <w:rPr>
          <w:rFonts w:cs="Calibri"/>
          <w:sz w:val="20"/>
          <w:szCs w:val="20"/>
        </w:rPr>
        <w:t xml:space="preserve">Load areas are defined as representative delivery nodes (e.g., Bethel for Portland).  User variable inputs are specifications of integration costs for wind and solar, local delivery cost ($/MWh), resource adequacy cost in $/kW-year, financing assumptions (which can be based on capital profiles of IPP’s, IOU’s and municipals), and an hourly profile of average energy prices for each month, in $/MWh.  The resource capacity cost is based on the average generation over the top 10% of hours.  </w:t>
      </w:r>
    </w:p>
    <w:p w:rsidR="00FF5E4C" w:rsidRDefault="00FF5E4C" w:rsidP="00CB69F0">
      <w:pPr>
        <w:pStyle w:val="NoSpacing"/>
        <w:jc w:val="both"/>
        <w:rPr>
          <w:rFonts w:cs="Calibri"/>
          <w:sz w:val="20"/>
          <w:szCs w:val="20"/>
        </w:rPr>
      </w:pPr>
    </w:p>
    <w:p w:rsidR="00FF5E4C" w:rsidRPr="007207FC" w:rsidRDefault="00FF5E4C" w:rsidP="00CB69F0">
      <w:pPr>
        <w:pStyle w:val="NoSpacing"/>
        <w:jc w:val="both"/>
        <w:rPr>
          <w:rFonts w:cs="Calibri"/>
          <w:sz w:val="20"/>
          <w:szCs w:val="20"/>
        </w:rPr>
      </w:pPr>
      <w:r w:rsidRPr="007207FC">
        <w:rPr>
          <w:rFonts w:cs="Calibri"/>
          <w:sz w:val="20"/>
          <w:szCs w:val="20"/>
        </w:rPr>
        <w:t>Resources are specified by resource zone, or delivery node, and may be selected from a menu of alternatives.  The user can specify the amount, in MW, of available capacity to use at that node to build a portfolio for that location.  For example, one may select different amounts of wind generation from multiple wind zones (with different patterns).  The model allows the user to specify custom resources as well, with a great deal of detail available for input.  The model also allows the user to specify a large number of financial parameters for the resource, such as capital cost ($/kW), fuel cost, heat rate, investments tax credit, production tax credit, depreciation schedule, capacity factor and so on.</w:t>
      </w:r>
    </w:p>
    <w:p w:rsidR="00FF5E4C" w:rsidRDefault="00FF5E4C" w:rsidP="00CB69F0">
      <w:pPr>
        <w:pStyle w:val="NoSpacing"/>
        <w:jc w:val="both"/>
        <w:rPr>
          <w:rFonts w:cs="Calibri"/>
          <w:sz w:val="20"/>
          <w:szCs w:val="20"/>
        </w:rPr>
      </w:pPr>
    </w:p>
    <w:p w:rsidR="00FF5E4C" w:rsidRPr="00266C11" w:rsidRDefault="00FF5E4C" w:rsidP="00CB69F0">
      <w:pPr>
        <w:pStyle w:val="NoSpacing"/>
        <w:jc w:val="both"/>
        <w:rPr>
          <w:rFonts w:cs="Calibri"/>
          <w:sz w:val="20"/>
          <w:szCs w:val="20"/>
        </w:rPr>
      </w:pPr>
      <w:r w:rsidRPr="00266C11">
        <w:rPr>
          <w:rFonts w:cs="Calibri"/>
          <w:sz w:val="20"/>
          <w:szCs w:val="20"/>
        </w:rPr>
        <w:t xml:space="preserve">The model allows a semi-sophisticated transmission network, with on the order of 100 nodes.  The model can do a point to point or multi-point routing solution.  The model also allows user specification of specific transport model routes to be evaluated.  The model also computes the cost of transmission in a table that allows the user to specify the transmission project utilization capacity, loading, financing, capital costs and so on, arriving at a levelized cost of transmission and an estimate of losses, based on distance and voltage of the line. </w:t>
      </w:r>
    </w:p>
    <w:p w:rsidR="00FF5E4C" w:rsidRPr="00266C11" w:rsidRDefault="00FF5E4C" w:rsidP="00432896">
      <w:pPr>
        <w:pStyle w:val="NoSpacing"/>
        <w:jc w:val="both"/>
        <w:rPr>
          <w:rFonts w:cs="Calibri"/>
          <w:sz w:val="20"/>
          <w:szCs w:val="20"/>
        </w:rPr>
      </w:pPr>
    </w:p>
    <w:p w:rsidR="00FF5E4C" w:rsidRPr="00266C11" w:rsidRDefault="00FF5E4C" w:rsidP="00432896">
      <w:pPr>
        <w:pStyle w:val="NoSpacing"/>
        <w:jc w:val="both"/>
        <w:rPr>
          <w:rFonts w:cs="Calibri"/>
          <w:sz w:val="20"/>
          <w:szCs w:val="20"/>
        </w:rPr>
      </w:pPr>
      <w:r w:rsidRPr="00266C11">
        <w:rPr>
          <w:rFonts w:cs="Calibri"/>
          <w:sz w:val="20"/>
          <w:szCs w:val="20"/>
        </w:rPr>
        <w:t xml:space="preserve">The PAT automates the resource selection and supply curve process for load areas and also uses the value of resources (LMP) to load areas to use in selection. </w:t>
      </w:r>
    </w:p>
    <w:p w:rsidR="00FF5E4C" w:rsidRPr="00266C11" w:rsidRDefault="00FF5E4C" w:rsidP="00432896">
      <w:pPr>
        <w:pStyle w:val="NoSpacing"/>
        <w:jc w:val="both"/>
        <w:rPr>
          <w:rFonts w:cs="Calibri"/>
          <w:sz w:val="20"/>
          <w:szCs w:val="20"/>
        </w:rPr>
      </w:pPr>
    </w:p>
    <w:p w:rsidR="00FF5E4C" w:rsidRPr="00266C11" w:rsidRDefault="00FF5E4C" w:rsidP="00432896">
      <w:pPr>
        <w:pStyle w:val="NoSpacing"/>
        <w:jc w:val="both"/>
        <w:rPr>
          <w:rFonts w:cs="Calibri"/>
          <w:sz w:val="20"/>
          <w:szCs w:val="20"/>
        </w:rPr>
      </w:pPr>
      <w:r w:rsidRPr="00266C11">
        <w:rPr>
          <w:rFonts w:cs="Calibri"/>
          <w:sz w:val="20"/>
          <w:szCs w:val="20"/>
        </w:rPr>
        <w:t>Results are highly dependent on:</w:t>
      </w:r>
    </w:p>
    <w:p w:rsidR="00FF5E4C" w:rsidRPr="00266C11" w:rsidRDefault="00FF5E4C" w:rsidP="00432896">
      <w:pPr>
        <w:pStyle w:val="NoSpacing"/>
        <w:numPr>
          <w:ilvl w:val="0"/>
          <w:numId w:val="11"/>
        </w:numPr>
        <w:jc w:val="both"/>
        <w:rPr>
          <w:rFonts w:cs="Calibri"/>
          <w:sz w:val="20"/>
          <w:szCs w:val="20"/>
        </w:rPr>
      </w:pPr>
      <w:r w:rsidRPr="00266C11">
        <w:rPr>
          <w:rFonts w:cs="Calibri"/>
          <w:sz w:val="20"/>
          <w:szCs w:val="20"/>
        </w:rPr>
        <w:t>Financial assumptions including ITC.</w:t>
      </w:r>
    </w:p>
    <w:p w:rsidR="00FF5E4C" w:rsidRPr="00266C11" w:rsidRDefault="00FF5E4C" w:rsidP="00432896">
      <w:pPr>
        <w:pStyle w:val="NoSpacing"/>
        <w:numPr>
          <w:ilvl w:val="0"/>
          <w:numId w:val="11"/>
        </w:numPr>
        <w:jc w:val="both"/>
        <w:rPr>
          <w:rFonts w:cs="Calibri"/>
          <w:sz w:val="20"/>
          <w:szCs w:val="20"/>
        </w:rPr>
      </w:pPr>
      <w:r w:rsidRPr="00266C11">
        <w:rPr>
          <w:rFonts w:cs="Calibri"/>
          <w:sz w:val="20"/>
          <w:szCs w:val="20"/>
        </w:rPr>
        <w:t>Transmission utilization factor (but the results are likely conservative and use higher than reality utilization factors).</w:t>
      </w:r>
    </w:p>
    <w:p w:rsidR="00FF5E4C" w:rsidRPr="00266C11" w:rsidRDefault="00FF5E4C" w:rsidP="00432896">
      <w:pPr>
        <w:pStyle w:val="NoSpacing"/>
        <w:numPr>
          <w:ilvl w:val="0"/>
          <w:numId w:val="11"/>
        </w:numPr>
        <w:jc w:val="both"/>
        <w:rPr>
          <w:rFonts w:cs="Calibri"/>
          <w:sz w:val="20"/>
          <w:szCs w:val="20"/>
        </w:rPr>
      </w:pPr>
      <w:r w:rsidRPr="00266C11">
        <w:rPr>
          <w:rFonts w:cs="Calibri"/>
          <w:sz w:val="20"/>
          <w:szCs w:val="20"/>
        </w:rPr>
        <w:t>Integration costs:  Mod</w:t>
      </w:r>
      <w:r>
        <w:rPr>
          <w:rFonts w:cs="Calibri"/>
          <w:sz w:val="20"/>
          <w:szCs w:val="20"/>
        </w:rPr>
        <w:t>el uses constant $/MWh</w:t>
      </w:r>
      <w:r w:rsidRPr="00266C11">
        <w:rPr>
          <w:rFonts w:cs="Calibri"/>
          <w:sz w:val="20"/>
          <w:szCs w:val="20"/>
        </w:rPr>
        <w:t xml:space="preserve"> value</w:t>
      </w:r>
    </w:p>
    <w:p w:rsidR="00FF5E4C" w:rsidRPr="00266C11" w:rsidRDefault="00FF5E4C" w:rsidP="00432896">
      <w:pPr>
        <w:pStyle w:val="NoSpacing"/>
        <w:numPr>
          <w:ilvl w:val="0"/>
          <w:numId w:val="11"/>
        </w:numPr>
        <w:jc w:val="both"/>
        <w:rPr>
          <w:rFonts w:cs="Calibri"/>
          <w:sz w:val="20"/>
          <w:szCs w:val="20"/>
        </w:rPr>
      </w:pPr>
      <w:r w:rsidRPr="00266C11">
        <w:rPr>
          <w:rFonts w:cs="Calibri"/>
          <w:sz w:val="20"/>
          <w:szCs w:val="20"/>
        </w:rPr>
        <w:t>The power flo</w:t>
      </w:r>
      <w:r>
        <w:rPr>
          <w:rFonts w:cs="Calibri"/>
          <w:sz w:val="20"/>
          <w:szCs w:val="20"/>
        </w:rPr>
        <w:t xml:space="preserve">w analysis method does not use </w:t>
      </w:r>
      <w:r w:rsidRPr="00266C11">
        <w:rPr>
          <w:rFonts w:cs="Calibri"/>
          <w:sz w:val="20"/>
          <w:szCs w:val="20"/>
        </w:rPr>
        <w:t>distribution factors so it does not consider loop</w:t>
      </w:r>
      <w:r>
        <w:rPr>
          <w:rFonts w:cs="Calibri"/>
          <w:sz w:val="20"/>
          <w:szCs w:val="20"/>
        </w:rPr>
        <w:t xml:space="preserve"> </w:t>
      </w:r>
      <w:r w:rsidRPr="00266C11">
        <w:rPr>
          <w:rFonts w:cs="Calibri"/>
          <w:sz w:val="20"/>
          <w:szCs w:val="20"/>
        </w:rPr>
        <w:t>flow or fully account for congestion.</w:t>
      </w:r>
    </w:p>
    <w:p w:rsidR="00FF5E4C" w:rsidRPr="00266C11" w:rsidRDefault="00FF5E4C" w:rsidP="00432896">
      <w:pPr>
        <w:pStyle w:val="NoSpacing"/>
        <w:numPr>
          <w:ilvl w:val="0"/>
          <w:numId w:val="11"/>
        </w:numPr>
        <w:jc w:val="both"/>
        <w:rPr>
          <w:rFonts w:cs="Calibri"/>
          <w:sz w:val="20"/>
          <w:szCs w:val="20"/>
        </w:rPr>
      </w:pPr>
      <w:r w:rsidRPr="00266C11">
        <w:rPr>
          <w:rFonts w:cs="Calibri"/>
          <w:sz w:val="20"/>
          <w:szCs w:val="20"/>
        </w:rPr>
        <w:t>The model does not utilize any of the existing transmission system to deliver new renewable resources.  This is a major difference between the WREZ model and the TEPPC analysis.</w:t>
      </w:r>
    </w:p>
    <w:p w:rsidR="00FF5E4C" w:rsidRPr="00266C11" w:rsidRDefault="00FF5E4C" w:rsidP="00432896">
      <w:pPr>
        <w:pStyle w:val="NoSpacing"/>
        <w:numPr>
          <w:ilvl w:val="0"/>
          <w:numId w:val="11"/>
        </w:numPr>
        <w:jc w:val="both"/>
        <w:rPr>
          <w:rFonts w:cs="Calibri"/>
          <w:sz w:val="20"/>
          <w:szCs w:val="20"/>
        </w:rPr>
      </w:pPr>
      <w:r w:rsidRPr="00266C11">
        <w:rPr>
          <w:rFonts w:cs="Calibri"/>
          <w:sz w:val="20"/>
          <w:szCs w:val="20"/>
        </w:rPr>
        <w:t>The model does not include wheeling pancakes</w:t>
      </w:r>
    </w:p>
    <w:p w:rsidR="00FF5E4C" w:rsidRPr="007207FC" w:rsidRDefault="00FF5E4C" w:rsidP="00432896">
      <w:pPr>
        <w:pStyle w:val="NoSpacing"/>
        <w:jc w:val="both"/>
        <w:rPr>
          <w:rFonts w:cs="Calibri"/>
          <w:sz w:val="20"/>
          <w:szCs w:val="20"/>
        </w:rPr>
      </w:pPr>
    </w:p>
    <w:p w:rsidR="00FF5E4C" w:rsidRPr="00E26FE8" w:rsidRDefault="00FF5E4C" w:rsidP="00432896">
      <w:pPr>
        <w:pStyle w:val="NoSpacing"/>
        <w:jc w:val="both"/>
        <w:rPr>
          <w:rFonts w:cs="Calibri"/>
          <w:b/>
          <w:sz w:val="20"/>
          <w:szCs w:val="20"/>
          <w:u w:val="single"/>
        </w:rPr>
      </w:pPr>
      <w:r w:rsidRPr="00E26FE8">
        <w:rPr>
          <w:rFonts w:cs="Calibri"/>
          <w:b/>
          <w:sz w:val="20"/>
          <w:szCs w:val="20"/>
          <w:u w:val="single"/>
        </w:rPr>
        <w:t>Results:</w:t>
      </w:r>
    </w:p>
    <w:p w:rsidR="00FF5E4C" w:rsidRPr="007207FC" w:rsidRDefault="00FF5E4C" w:rsidP="00432896">
      <w:pPr>
        <w:pStyle w:val="NoSpacing"/>
        <w:jc w:val="both"/>
        <w:rPr>
          <w:rFonts w:cs="Calibri"/>
          <w:sz w:val="20"/>
          <w:szCs w:val="20"/>
        </w:rPr>
      </w:pPr>
      <w:r>
        <w:rPr>
          <w:rFonts w:cs="Calibri"/>
          <w:sz w:val="20"/>
          <w:szCs w:val="20"/>
        </w:rPr>
        <w:t xml:space="preserve">The identified </w:t>
      </w:r>
      <w:r w:rsidRPr="007207FC">
        <w:rPr>
          <w:rFonts w:cs="Calibri"/>
          <w:sz w:val="20"/>
          <w:szCs w:val="20"/>
        </w:rPr>
        <w:t xml:space="preserve">REZs are shown in Figure </w:t>
      </w:r>
      <w:r>
        <w:rPr>
          <w:rFonts w:cs="Calibri"/>
          <w:sz w:val="20"/>
          <w:szCs w:val="20"/>
        </w:rPr>
        <w:t>F-</w:t>
      </w:r>
      <w:r w:rsidRPr="007207FC">
        <w:rPr>
          <w:rFonts w:cs="Calibri"/>
          <w:sz w:val="20"/>
          <w:szCs w:val="20"/>
        </w:rPr>
        <w:t xml:space="preserve">1 and the transmission paths used in Figure </w:t>
      </w:r>
      <w:r>
        <w:rPr>
          <w:rFonts w:cs="Calibri"/>
          <w:sz w:val="20"/>
          <w:szCs w:val="20"/>
        </w:rPr>
        <w:t>F-</w:t>
      </w:r>
      <w:r w:rsidRPr="007207FC">
        <w:rPr>
          <w:rFonts w:cs="Calibri"/>
          <w:sz w:val="20"/>
          <w:szCs w:val="20"/>
        </w:rPr>
        <w:t>2.  Figure 3 indicates model assumptions used.</w:t>
      </w:r>
    </w:p>
    <w:p w:rsidR="00FF5E4C" w:rsidRPr="007207FC" w:rsidRDefault="00FF5E4C" w:rsidP="00432896">
      <w:pPr>
        <w:pStyle w:val="NoSpacing"/>
        <w:jc w:val="both"/>
        <w:rPr>
          <w:rFonts w:cs="Calibri"/>
          <w:sz w:val="20"/>
          <w:szCs w:val="20"/>
        </w:rPr>
      </w:pPr>
    </w:p>
    <w:p w:rsidR="00FF5E4C" w:rsidRPr="007207FC" w:rsidRDefault="00FF5E4C" w:rsidP="00432896">
      <w:pPr>
        <w:pStyle w:val="NoSpacing"/>
        <w:jc w:val="both"/>
        <w:rPr>
          <w:rFonts w:cs="Calibri"/>
          <w:sz w:val="20"/>
          <w:szCs w:val="20"/>
        </w:rPr>
      </w:pPr>
      <w:r w:rsidRPr="007207FC">
        <w:rPr>
          <w:rFonts w:cs="Calibri"/>
          <w:sz w:val="20"/>
          <w:szCs w:val="20"/>
        </w:rPr>
        <w:t xml:space="preserve">The PAT was used to compare the full delivered cost including transmission of importing new wind resources over new transmission into the Load Areas of Portland, Seattle, and Spokane from the Renewable Energy Zones in Washington/Oregon, British Columbia, Montana, and Wyoming.  A comparison was performed by creating supply curves for the load areas showing the amounts of delivered energy and its costs as RPS requirements move the load area's requirements up the supply curves in each load area. </w:t>
      </w:r>
    </w:p>
    <w:p w:rsidR="00FF5E4C" w:rsidRPr="007207FC" w:rsidRDefault="00FF5E4C" w:rsidP="00432896">
      <w:pPr>
        <w:pStyle w:val="NoSpacing"/>
        <w:jc w:val="both"/>
        <w:rPr>
          <w:rFonts w:cs="Calibri"/>
          <w:sz w:val="20"/>
          <w:szCs w:val="20"/>
        </w:rPr>
      </w:pPr>
    </w:p>
    <w:p w:rsidR="00FF5E4C" w:rsidRDefault="00FF5E4C" w:rsidP="00432896">
      <w:pPr>
        <w:pStyle w:val="NoSpacing"/>
        <w:jc w:val="both"/>
        <w:rPr>
          <w:rFonts w:cs="Calibri"/>
          <w:sz w:val="20"/>
          <w:szCs w:val="20"/>
        </w:rPr>
      </w:pPr>
      <w:r w:rsidRPr="007207FC">
        <w:rPr>
          <w:rFonts w:cs="Calibri"/>
          <w:sz w:val="20"/>
          <w:szCs w:val="20"/>
        </w:rPr>
        <w:t xml:space="preserve">RPS requirement assumption included existing, 25%, then increasing to 33% by 2029, as well as a WECC-wide 33% RPS by 2029.  Sensitivity studies were performed for Investment Tax Credit and transmission addition voltages (500 kV and 765 kV).  Other assumptions are shown in Figure </w:t>
      </w:r>
      <w:r>
        <w:rPr>
          <w:rFonts w:cs="Calibri"/>
          <w:sz w:val="20"/>
          <w:szCs w:val="20"/>
        </w:rPr>
        <w:t>F-</w:t>
      </w:r>
      <w:r w:rsidRPr="007207FC">
        <w:rPr>
          <w:rFonts w:cs="Calibri"/>
          <w:sz w:val="20"/>
          <w:szCs w:val="20"/>
        </w:rPr>
        <w:t xml:space="preserve">3. </w:t>
      </w:r>
    </w:p>
    <w:p w:rsidR="00FF5E4C" w:rsidRPr="007207FC" w:rsidRDefault="00FF5E4C" w:rsidP="00432896">
      <w:pPr>
        <w:pStyle w:val="NoSpacing"/>
        <w:jc w:val="both"/>
        <w:rPr>
          <w:rFonts w:cs="Calibri"/>
          <w:sz w:val="20"/>
          <w:szCs w:val="20"/>
        </w:rPr>
      </w:pPr>
    </w:p>
    <w:p w:rsidR="00FF5E4C" w:rsidRDefault="00FF5E4C" w:rsidP="00432896">
      <w:pPr>
        <w:pStyle w:val="NoSpacing"/>
        <w:jc w:val="both"/>
        <w:rPr>
          <w:rFonts w:cs="Calibri"/>
          <w:sz w:val="20"/>
          <w:szCs w:val="20"/>
        </w:rPr>
      </w:pPr>
      <w:r w:rsidRPr="007207FC">
        <w:rPr>
          <w:rFonts w:cs="Calibri"/>
          <w:sz w:val="20"/>
          <w:szCs w:val="20"/>
        </w:rPr>
        <w:t xml:space="preserve">The results of the model are supply curves for each area that shows the cost of energy at points of delivery for various resource alternatives - shown in figures </w:t>
      </w:r>
      <w:r>
        <w:rPr>
          <w:rFonts w:cs="Calibri"/>
          <w:sz w:val="20"/>
          <w:szCs w:val="20"/>
        </w:rPr>
        <w:t>F-</w:t>
      </w:r>
      <w:r w:rsidRPr="007207FC">
        <w:rPr>
          <w:rFonts w:cs="Calibri"/>
          <w:sz w:val="20"/>
          <w:szCs w:val="20"/>
        </w:rPr>
        <w:t xml:space="preserve">4, </w:t>
      </w:r>
      <w:r>
        <w:rPr>
          <w:rFonts w:cs="Calibri"/>
          <w:sz w:val="20"/>
          <w:szCs w:val="20"/>
        </w:rPr>
        <w:t>F-</w:t>
      </w:r>
      <w:r w:rsidRPr="007207FC">
        <w:rPr>
          <w:rFonts w:cs="Calibri"/>
          <w:sz w:val="20"/>
          <w:szCs w:val="20"/>
        </w:rPr>
        <w:t xml:space="preserve">5, </w:t>
      </w:r>
      <w:r>
        <w:rPr>
          <w:rFonts w:cs="Calibri"/>
          <w:sz w:val="20"/>
          <w:szCs w:val="20"/>
        </w:rPr>
        <w:t>F-</w:t>
      </w:r>
      <w:r w:rsidRPr="007207FC">
        <w:rPr>
          <w:rFonts w:cs="Calibri"/>
          <w:sz w:val="20"/>
          <w:szCs w:val="20"/>
        </w:rPr>
        <w:t xml:space="preserve">6, </w:t>
      </w:r>
      <w:r>
        <w:rPr>
          <w:rFonts w:cs="Calibri"/>
          <w:sz w:val="20"/>
          <w:szCs w:val="20"/>
        </w:rPr>
        <w:t xml:space="preserve">F-7, F-8, F-9 </w:t>
      </w:r>
      <w:r w:rsidRPr="007207FC">
        <w:rPr>
          <w:rFonts w:cs="Calibri"/>
          <w:sz w:val="20"/>
          <w:szCs w:val="20"/>
        </w:rPr>
        <w:t xml:space="preserve">and </w:t>
      </w:r>
      <w:r>
        <w:rPr>
          <w:rFonts w:cs="Calibri"/>
          <w:sz w:val="20"/>
          <w:szCs w:val="20"/>
        </w:rPr>
        <w:t>F-10.</w:t>
      </w:r>
      <w:r w:rsidRPr="007207FC">
        <w:rPr>
          <w:rFonts w:cs="Calibri"/>
          <w:sz w:val="20"/>
          <w:szCs w:val="20"/>
        </w:rPr>
        <w:t xml:space="preserve">  For example, for the Portland load area, Montana, British Columbia and Wyoming wind are increasingly expensive.  BC resources become more attractive if US resources don’t get a production tax credit, moving into the portfolio used to cover Portland RPS load. </w:t>
      </w:r>
    </w:p>
    <w:p w:rsidR="00FF5E4C" w:rsidRPr="007207FC" w:rsidRDefault="00FF5E4C" w:rsidP="00432896">
      <w:pPr>
        <w:pStyle w:val="NoSpacing"/>
        <w:jc w:val="both"/>
        <w:rPr>
          <w:rFonts w:cs="Calibri"/>
          <w:sz w:val="20"/>
          <w:szCs w:val="20"/>
        </w:rPr>
      </w:pPr>
      <w:r w:rsidRPr="007207FC">
        <w:rPr>
          <w:rFonts w:cs="Calibri"/>
          <w:sz w:val="20"/>
          <w:szCs w:val="20"/>
        </w:rPr>
        <w:t xml:space="preserve"> </w:t>
      </w:r>
    </w:p>
    <w:p w:rsidR="00FF5E4C" w:rsidRPr="007207FC" w:rsidRDefault="00FF5E4C" w:rsidP="00432896">
      <w:pPr>
        <w:pStyle w:val="NoSpacing"/>
        <w:jc w:val="both"/>
        <w:rPr>
          <w:rFonts w:cs="Calibri"/>
          <w:sz w:val="20"/>
          <w:szCs w:val="20"/>
        </w:rPr>
      </w:pPr>
      <w:r>
        <w:rPr>
          <w:rFonts w:cs="Calibri"/>
          <w:sz w:val="20"/>
          <w:szCs w:val="20"/>
        </w:rPr>
        <w:t>This</w:t>
      </w:r>
      <w:r w:rsidRPr="007207FC">
        <w:rPr>
          <w:rFonts w:cs="Calibri"/>
          <w:sz w:val="20"/>
          <w:szCs w:val="20"/>
        </w:rPr>
        <w:t xml:space="preserve"> study showed that Washington, Oregon, and British Columbia resources were less expensive than those from Montana and Wyoming to serve Oregon and Washington load centers as RPS requirements are increased.  Andrew also did a study that allocated resources required by existing RPS policies among load zones in the WECC to minimize overall cost. </w:t>
      </w:r>
    </w:p>
    <w:p w:rsidR="00FF5E4C" w:rsidRPr="007207FC" w:rsidRDefault="00FF5E4C" w:rsidP="007207FC">
      <w:pPr>
        <w:pStyle w:val="NoSpacing"/>
        <w:rPr>
          <w:rFonts w:cs="Calibri"/>
          <w:sz w:val="20"/>
          <w:szCs w:val="20"/>
        </w:rPr>
      </w:pPr>
    </w:p>
    <w:p w:rsidR="00FF5E4C" w:rsidRDefault="00FF5E4C" w:rsidP="00C24C58">
      <w:pPr>
        <w:spacing w:after="0" w:line="240" w:lineRule="auto"/>
        <w:rPr>
          <w:rFonts w:cs="Calibri"/>
          <w:b/>
          <w:sz w:val="20"/>
          <w:szCs w:val="20"/>
        </w:rPr>
      </w:pPr>
      <w:r>
        <w:rPr>
          <w:rFonts w:cs="Calibri"/>
          <w:b/>
          <w:sz w:val="20"/>
          <w:szCs w:val="20"/>
        </w:rPr>
        <w:br w:type="page"/>
      </w:r>
      <w:r w:rsidRPr="00432896">
        <w:rPr>
          <w:rFonts w:cs="Calibri"/>
          <w:b/>
          <w:sz w:val="20"/>
          <w:szCs w:val="20"/>
        </w:rPr>
        <w:t xml:space="preserve">Figure </w:t>
      </w:r>
      <w:r>
        <w:rPr>
          <w:rFonts w:cs="Calibri"/>
          <w:b/>
          <w:sz w:val="20"/>
          <w:szCs w:val="20"/>
        </w:rPr>
        <w:t>F-</w:t>
      </w:r>
      <w:r w:rsidRPr="00432896">
        <w:rPr>
          <w:rFonts w:cs="Calibri"/>
          <w:b/>
          <w:sz w:val="20"/>
          <w:szCs w:val="20"/>
        </w:rPr>
        <w:t>1 - Renewable Energy Zones</w:t>
      </w:r>
    </w:p>
    <w:p w:rsidR="00FF5E4C" w:rsidRPr="00432896" w:rsidRDefault="00FF5E4C" w:rsidP="007207FC">
      <w:pPr>
        <w:pStyle w:val="NoSpacing"/>
        <w:rPr>
          <w:rFonts w:cs="Calibri"/>
          <w:b/>
          <w:sz w:val="20"/>
          <w:szCs w:val="20"/>
        </w:rPr>
      </w:pPr>
    </w:p>
    <w:p w:rsidR="00FF5E4C" w:rsidRPr="007207FC" w:rsidRDefault="00FF5E4C" w:rsidP="007207FC">
      <w:pPr>
        <w:pStyle w:val="NoSpacing"/>
        <w:rPr>
          <w:rFonts w:cs="Calibri"/>
          <w:sz w:val="20"/>
          <w:szCs w:val="20"/>
        </w:rPr>
      </w:pPr>
      <w:r w:rsidRPr="0007596D">
        <w:rPr>
          <w:rFonts w:cs="Calibri"/>
          <w:noProof/>
          <w:sz w:val="20"/>
          <w:szCs w:val="20"/>
        </w:rPr>
        <w:pict>
          <v:shape id="Picture 26" o:spid="_x0000_i1050" type="#_x0000_t75" style="width:413.25pt;height:501.75pt;visibility:visible">
            <v:imagedata r:id="rId40" o:title=""/>
          </v:shape>
        </w:pict>
      </w:r>
    </w:p>
    <w:p w:rsidR="00FF5E4C" w:rsidRPr="007207FC" w:rsidRDefault="00FF5E4C" w:rsidP="007207FC">
      <w:pPr>
        <w:pStyle w:val="NoSpacing"/>
        <w:rPr>
          <w:rFonts w:cs="Calibri"/>
          <w:sz w:val="20"/>
          <w:szCs w:val="20"/>
        </w:rPr>
      </w:pPr>
    </w:p>
    <w:p w:rsidR="00FF5E4C" w:rsidRPr="007207FC" w:rsidRDefault="00FF5E4C" w:rsidP="007207FC">
      <w:pPr>
        <w:pStyle w:val="NoSpacing"/>
        <w:rPr>
          <w:rFonts w:cs="Calibri"/>
          <w:sz w:val="20"/>
          <w:szCs w:val="20"/>
        </w:rPr>
      </w:pPr>
    </w:p>
    <w:p w:rsidR="00FF5E4C" w:rsidRPr="007207FC" w:rsidRDefault="00FF5E4C" w:rsidP="007207FC">
      <w:pPr>
        <w:pStyle w:val="NoSpacing"/>
        <w:rPr>
          <w:rFonts w:cs="Calibri"/>
          <w:sz w:val="20"/>
          <w:szCs w:val="20"/>
        </w:rPr>
      </w:pPr>
    </w:p>
    <w:p w:rsidR="00FF5E4C" w:rsidRPr="007207FC" w:rsidRDefault="00FF5E4C" w:rsidP="007207FC">
      <w:pPr>
        <w:pStyle w:val="NoSpacing"/>
        <w:rPr>
          <w:rFonts w:cs="Calibri"/>
          <w:sz w:val="20"/>
          <w:szCs w:val="20"/>
        </w:rPr>
      </w:pPr>
    </w:p>
    <w:p w:rsidR="00FF5E4C" w:rsidRPr="007207FC" w:rsidRDefault="00FF5E4C" w:rsidP="007207FC">
      <w:pPr>
        <w:pStyle w:val="NoSpacing"/>
        <w:rPr>
          <w:rFonts w:cs="Calibri"/>
          <w:sz w:val="20"/>
          <w:szCs w:val="20"/>
        </w:rPr>
      </w:pPr>
    </w:p>
    <w:p w:rsidR="00FF5E4C" w:rsidRDefault="00FF5E4C" w:rsidP="007207FC">
      <w:pPr>
        <w:pStyle w:val="NoSpacing"/>
        <w:rPr>
          <w:rFonts w:cs="Calibri"/>
          <w:b/>
          <w:sz w:val="20"/>
          <w:szCs w:val="20"/>
        </w:rPr>
      </w:pPr>
    </w:p>
    <w:p w:rsidR="00FF5E4C" w:rsidRDefault="00FF5E4C" w:rsidP="007207FC">
      <w:pPr>
        <w:pStyle w:val="NoSpacing"/>
        <w:rPr>
          <w:rFonts w:cs="Calibri"/>
          <w:b/>
          <w:sz w:val="20"/>
          <w:szCs w:val="20"/>
        </w:rPr>
      </w:pPr>
    </w:p>
    <w:p w:rsidR="00FF5E4C" w:rsidRDefault="00FF5E4C" w:rsidP="007207FC">
      <w:pPr>
        <w:pStyle w:val="NoSpacing"/>
        <w:rPr>
          <w:rFonts w:cs="Calibri"/>
          <w:b/>
          <w:sz w:val="20"/>
          <w:szCs w:val="20"/>
        </w:rPr>
      </w:pPr>
    </w:p>
    <w:p w:rsidR="00FF5E4C" w:rsidRDefault="00FF5E4C" w:rsidP="007207FC">
      <w:pPr>
        <w:pStyle w:val="NoSpacing"/>
        <w:rPr>
          <w:rFonts w:cs="Calibri"/>
          <w:b/>
          <w:sz w:val="20"/>
          <w:szCs w:val="20"/>
        </w:rPr>
      </w:pPr>
    </w:p>
    <w:p w:rsidR="00FF5E4C" w:rsidRDefault="00FF5E4C" w:rsidP="007207FC">
      <w:pPr>
        <w:pStyle w:val="NoSpacing"/>
        <w:rPr>
          <w:rFonts w:cs="Calibri"/>
          <w:b/>
          <w:sz w:val="20"/>
          <w:szCs w:val="20"/>
        </w:rPr>
      </w:pPr>
    </w:p>
    <w:p w:rsidR="00FF5E4C" w:rsidRDefault="00FF5E4C" w:rsidP="007207FC">
      <w:pPr>
        <w:pStyle w:val="NoSpacing"/>
        <w:rPr>
          <w:rFonts w:cs="Calibri"/>
          <w:b/>
          <w:sz w:val="20"/>
          <w:szCs w:val="20"/>
        </w:rPr>
      </w:pPr>
      <w:r w:rsidRPr="00432896">
        <w:rPr>
          <w:rFonts w:cs="Calibri"/>
          <w:b/>
          <w:sz w:val="20"/>
          <w:szCs w:val="20"/>
        </w:rPr>
        <w:t xml:space="preserve">Figure </w:t>
      </w:r>
      <w:r>
        <w:rPr>
          <w:rFonts w:cs="Calibri"/>
          <w:b/>
          <w:sz w:val="20"/>
          <w:szCs w:val="20"/>
        </w:rPr>
        <w:t>F-</w:t>
      </w:r>
      <w:r w:rsidRPr="00432896">
        <w:rPr>
          <w:rFonts w:cs="Calibri"/>
          <w:b/>
          <w:sz w:val="20"/>
          <w:szCs w:val="20"/>
        </w:rPr>
        <w:t>2 - Transmission Path Segment Map</w:t>
      </w:r>
    </w:p>
    <w:p w:rsidR="00FF5E4C" w:rsidRPr="00432896" w:rsidRDefault="00FF5E4C" w:rsidP="007207FC">
      <w:pPr>
        <w:pStyle w:val="NoSpacing"/>
        <w:rPr>
          <w:rFonts w:cs="Calibri"/>
          <w:b/>
          <w:sz w:val="20"/>
          <w:szCs w:val="20"/>
        </w:rPr>
      </w:pPr>
    </w:p>
    <w:p w:rsidR="00FF5E4C" w:rsidRPr="007207FC" w:rsidRDefault="00FF5E4C" w:rsidP="007207FC">
      <w:pPr>
        <w:pStyle w:val="NoSpacing"/>
        <w:rPr>
          <w:rFonts w:cs="Calibri"/>
          <w:sz w:val="20"/>
          <w:szCs w:val="20"/>
        </w:rPr>
      </w:pPr>
      <w:r w:rsidRPr="0007596D">
        <w:rPr>
          <w:rFonts w:cs="Calibri"/>
          <w:noProof/>
          <w:sz w:val="20"/>
          <w:szCs w:val="20"/>
        </w:rPr>
        <w:pict>
          <v:shape id="Picture 2" o:spid="_x0000_i1051" type="#_x0000_t75" style="width:421.5pt;height:319.5pt;visibility:visible">
            <v:imagedata r:id="rId41" o:title=""/>
          </v:shape>
        </w:pict>
      </w:r>
    </w:p>
    <w:p w:rsidR="00FF5E4C" w:rsidRPr="007207FC" w:rsidRDefault="00FF5E4C" w:rsidP="007207FC">
      <w:pPr>
        <w:pStyle w:val="NoSpacing"/>
        <w:rPr>
          <w:rFonts w:cs="Calibri"/>
          <w:sz w:val="20"/>
          <w:szCs w:val="20"/>
        </w:rPr>
      </w:pPr>
    </w:p>
    <w:p w:rsidR="00FF5E4C" w:rsidRPr="007207FC" w:rsidRDefault="00FF5E4C" w:rsidP="007207FC">
      <w:pPr>
        <w:pStyle w:val="NoSpacing"/>
        <w:rPr>
          <w:rFonts w:cs="Calibri"/>
          <w:sz w:val="20"/>
          <w:szCs w:val="20"/>
        </w:rPr>
      </w:pPr>
    </w:p>
    <w:p w:rsidR="00FF5E4C" w:rsidRPr="00432896" w:rsidRDefault="00FF5E4C" w:rsidP="00C24C58">
      <w:pPr>
        <w:spacing w:after="0" w:line="240" w:lineRule="auto"/>
        <w:rPr>
          <w:rFonts w:cs="Calibri"/>
          <w:b/>
          <w:sz w:val="20"/>
          <w:szCs w:val="20"/>
        </w:rPr>
      </w:pPr>
      <w:r>
        <w:rPr>
          <w:rFonts w:cs="Calibri"/>
          <w:b/>
          <w:sz w:val="20"/>
          <w:szCs w:val="20"/>
        </w:rPr>
        <w:br w:type="page"/>
      </w:r>
      <w:r w:rsidRPr="00432896">
        <w:rPr>
          <w:rFonts w:cs="Calibri"/>
          <w:b/>
          <w:sz w:val="20"/>
          <w:szCs w:val="20"/>
        </w:rPr>
        <w:t xml:space="preserve">Figure </w:t>
      </w:r>
      <w:r>
        <w:rPr>
          <w:rFonts w:cs="Calibri"/>
          <w:b/>
          <w:sz w:val="20"/>
          <w:szCs w:val="20"/>
        </w:rPr>
        <w:t>F-</w:t>
      </w:r>
      <w:r w:rsidRPr="00432896">
        <w:rPr>
          <w:rFonts w:cs="Calibri"/>
          <w:b/>
          <w:sz w:val="20"/>
          <w:szCs w:val="20"/>
        </w:rPr>
        <w:t>3 Model Assumptions</w:t>
      </w:r>
    </w:p>
    <w:p w:rsidR="00FF5E4C" w:rsidRPr="007207FC" w:rsidRDefault="00FF5E4C" w:rsidP="007207FC">
      <w:pPr>
        <w:pStyle w:val="NoSpacing"/>
        <w:rPr>
          <w:rFonts w:cs="Calibri"/>
          <w:sz w:val="20"/>
          <w:szCs w:val="20"/>
        </w:rPr>
      </w:pPr>
      <w:r w:rsidRPr="0007596D">
        <w:rPr>
          <w:rFonts w:cs="Calibri"/>
          <w:noProof/>
          <w:sz w:val="20"/>
          <w:szCs w:val="20"/>
        </w:rPr>
        <w:pict>
          <v:shape id="_x0000_i1052" type="#_x0000_t75" style="width:189.75pt;height:318pt;visibility:visible">
            <v:imagedata r:id="rId42" o:title=""/>
          </v:shape>
        </w:pict>
      </w:r>
    </w:p>
    <w:p w:rsidR="00FF5E4C" w:rsidRPr="007207FC" w:rsidRDefault="00FF5E4C" w:rsidP="007207FC">
      <w:pPr>
        <w:pStyle w:val="NoSpacing"/>
        <w:rPr>
          <w:rFonts w:cs="Calibri"/>
          <w:sz w:val="20"/>
          <w:szCs w:val="20"/>
        </w:rPr>
      </w:pPr>
      <w:r w:rsidRPr="0007596D">
        <w:rPr>
          <w:rFonts w:cs="Calibri"/>
          <w:noProof/>
          <w:sz w:val="20"/>
          <w:szCs w:val="20"/>
        </w:rPr>
        <w:pict>
          <v:shape id="_x0000_i1053" type="#_x0000_t75" style="width:472.5pt;height:266.25pt;visibility:visible">
            <v:imagedata r:id="rId43" o:title=""/>
          </v:shape>
        </w:pict>
      </w:r>
    </w:p>
    <w:p w:rsidR="00FF5E4C" w:rsidRPr="007207FC" w:rsidRDefault="00FF5E4C" w:rsidP="007207FC">
      <w:pPr>
        <w:pStyle w:val="NoSpacing"/>
        <w:rPr>
          <w:rFonts w:cs="Calibri"/>
          <w:sz w:val="20"/>
          <w:szCs w:val="20"/>
        </w:rPr>
      </w:pPr>
      <w:r w:rsidRPr="0007596D">
        <w:rPr>
          <w:rFonts w:cs="Calibri"/>
          <w:noProof/>
          <w:sz w:val="20"/>
          <w:szCs w:val="20"/>
        </w:rPr>
        <w:pict>
          <v:shape id="_x0000_i1054" type="#_x0000_t75" style="width:249pt;height:145.5pt;visibility:visible">
            <v:imagedata r:id="rId44" o:title=""/>
          </v:shape>
        </w:pict>
      </w:r>
    </w:p>
    <w:p w:rsidR="00FF5E4C" w:rsidRPr="007207FC" w:rsidRDefault="00FF5E4C" w:rsidP="007207FC">
      <w:pPr>
        <w:pStyle w:val="NoSpacing"/>
        <w:rPr>
          <w:rFonts w:cs="Calibri"/>
          <w:sz w:val="20"/>
          <w:szCs w:val="20"/>
        </w:rPr>
      </w:pPr>
      <w:r w:rsidRPr="0007596D">
        <w:rPr>
          <w:rFonts w:cs="Calibri"/>
          <w:noProof/>
          <w:sz w:val="20"/>
          <w:szCs w:val="20"/>
        </w:rPr>
        <w:pict>
          <v:shape id="_x0000_i1055" type="#_x0000_t75" style="width:233.25pt;height:150pt;visibility:visible">
            <v:imagedata r:id="rId45" o:title=""/>
          </v:shape>
        </w:pict>
      </w:r>
    </w:p>
    <w:p w:rsidR="00FF5E4C" w:rsidRPr="007207FC" w:rsidRDefault="00FF5E4C" w:rsidP="007207FC">
      <w:pPr>
        <w:pStyle w:val="NoSpacing"/>
        <w:rPr>
          <w:rFonts w:cs="Calibri"/>
          <w:color w:val="000000"/>
          <w:sz w:val="20"/>
          <w:szCs w:val="20"/>
        </w:rPr>
      </w:pPr>
    </w:p>
    <w:p w:rsidR="00FF5E4C" w:rsidRDefault="00FF5E4C" w:rsidP="007207FC">
      <w:pPr>
        <w:pStyle w:val="NoSpacing"/>
        <w:rPr>
          <w:rFonts w:cs="Calibri"/>
          <w:b/>
          <w:sz w:val="20"/>
          <w:szCs w:val="20"/>
        </w:rPr>
      </w:pPr>
      <w:r w:rsidRPr="00432896">
        <w:rPr>
          <w:rFonts w:cs="Calibri"/>
          <w:b/>
          <w:sz w:val="20"/>
          <w:szCs w:val="20"/>
        </w:rPr>
        <w:t xml:space="preserve">Figure </w:t>
      </w:r>
      <w:r>
        <w:rPr>
          <w:rFonts w:cs="Calibri"/>
          <w:b/>
          <w:sz w:val="20"/>
          <w:szCs w:val="20"/>
        </w:rPr>
        <w:t>F-4</w:t>
      </w:r>
    </w:p>
    <w:p w:rsidR="00FF5E4C" w:rsidRDefault="00FF5E4C" w:rsidP="007207FC">
      <w:pPr>
        <w:pStyle w:val="NoSpacing"/>
        <w:rPr>
          <w:rFonts w:cs="Calibri"/>
          <w:b/>
          <w:sz w:val="20"/>
          <w:szCs w:val="20"/>
        </w:rPr>
      </w:pPr>
    </w:p>
    <w:p w:rsidR="00FF5E4C" w:rsidRDefault="00FF5E4C" w:rsidP="00C420AA">
      <w:pPr>
        <w:rPr>
          <w:rFonts w:cs="Calibri"/>
          <w:color w:val="000000"/>
        </w:rPr>
      </w:pPr>
      <w:r w:rsidRPr="00E33210">
        <w:rPr>
          <w:rFonts w:cs="Calibri"/>
          <w:color w:val="000000"/>
        </w:rPr>
        <w:object w:dxaOrig="7191" w:dyaOrig="5399">
          <v:shape id="_x0000_i1056" type="#_x0000_t75" style="width:359.25pt;height:270pt" o:ole="">
            <v:imagedata r:id="rId46" o:title=""/>
          </v:shape>
          <o:OLEObject Type="Embed" ProgID="PowerPoint.Slide.12" ShapeID="_x0000_i1056" DrawAspect="Content" ObjectID="_1367902626" r:id="rId47"/>
        </w:object>
      </w:r>
    </w:p>
    <w:p w:rsidR="00FF5E4C" w:rsidRDefault="00FF5E4C" w:rsidP="00C420AA">
      <w:pPr>
        <w:rPr>
          <w:rFonts w:cs="Calibri"/>
          <w:color w:val="000000"/>
        </w:rPr>
      </w:pPr>
    </w:p>
    <w:p w:rsidR="00FF5E4C" w:rsidRDefault="00FF5E4C" w:rsidP="00C420AA">
      <w:pPr>
        <w:pStyle w:val="NoSpacing"/>
        <w:rPr>
          <w:rFonts w:cs="Calibri"/>
          <w:b/>
          <w:sz w:val="20"/>
          <w:szCs w:val="20"/>
        </w:rPr>
      </w:pPr>
      <w:r w:rsidRPr="00432896">
        <w:rPr>
          <w:rFonts w:cs="Calibri"/>
          <w:b/>
          <w:sz w:val="20"/>
          <w:szCs w:val="20"/>
        </w:rPr>
        <w:t xml:space="preserve">Figure </w:t>
      </w:r>
      <w:r>
        <w:rPr>
          <w:rFonts w:cs="Calibri"/>
          <w:b/>
          <w:sz w:val="20"/>
          <w:szCs w:val="20"/>
        </w:rPr>
        <w:t>F-5</w:t>
      </w:r>
    </w:p>
    <w:p w:rsidR="00FF5E4C" w:rsidRDefault="00FF5E4C" w:rsidP="00C420AA">
      <w:pPr>
        <w:rPr>
          <w:rFonts w:cs="Calibri"/>
          <w:color w:val="000000"/>
        </w:rPr>
      </w:pPr>
      <w:r w:rsidRPr="00E33210">
        <w:rPr>
          <w:rFonts w:cs="Calibri"/>
          <w:color w:val="000000"/>
        </w:rPr>
        <w:object w:dxaOrig="7191" w:dyaOrig="5399">
          <v:shape id="_x0000_i1057" type="#_x0000_t75" style="width:359.25pt;height:270pt" o:ole="">
            <v:imagedata r:id="rId48" o:title=""/>
          </v:shape>
          <o:OLEObject Type="Embed" ProgID="PowerPoint.Slide.12" ShapeID="_x0000_i1057" DrawAspect="Content" ObjectID="_1367902627" r:id="rId49"/>
        </w:object>
      </w:r>
    </w:p>
    <w:p w:rsidR="00FF5E4C" w:rsidRDefault="00FF5E4C" w:rsidP="00C420AA">
      <w:pPr>
        <w:pStyle w:val="NoSpacing"/>
        <w:rPr>
          <w:rFonts w:cs="Calibri"/>
          <w:b/>
          <w:sz w:val="20"/>
          <w:szCs w:val="20"/>
        </w:rPr>
      </w:pPr>
      <w:r w:rsidRPr="00432896">
        <w:rPr>
          <w:rFonts w:cs="Calibri"/>
          <w:b/>
          <w:sz w:val="20"/>
          <w:szCs w:val="20"/>
        </w:rPr>
        <w:t xml:space="preserve">Figure </w:t>
      </w:r>
      <w:r>
        <w:rPr>
          <w:rFonts w:cs="Calibri"/>
          <w:b/>
          <w:sz w:val="20"/>
          <w:szCs w:val="20"/>
        </w:rPr>
        <w:t>F-6</w:t>
      </w:r>
    </w:p>
    <w:p w:rsidR="00FF5E4C" w:rsidRDefault="00FF5E4C" w:rsidP="00C420AA">
      <w:pPr>
        <w:rPr>
          <w:rFonts w:cs="Calibri"/>
          <w:color w:val="000000"/>
        </w:rPr>
      </w:pPr>
    </w:p>
    <w:p w:rsidR="00FF5E4C" w:rsidRDefault="00FF5E4C" w:rsidP="00C420AA">
      <w:pPr>
        <w:rPr>
          <w:rFonts w:cs="Calibri"/>
          <w:color w:val="000000"/>
        </w:rPr>
      </w:pPr>
      <w:r w:rsidRPr="00E33210">
        <w:rPr>
          <w:rFonts w:cs="Calibri"/>
          <w:color w:val="000000"/>
        </w:rPr>
        <w:object w:dxaOrig="7191" w:dyaOrig="5399">
          <v:shape id="_x0000_i1058" type="#_x0000_t75" style="width:359.25pt;height:270pt" o:ole="">
            <v:imagedata r:id="rId50" o:title=""/>
          </v:shape>
          <o:OLEObject Type="Embed" ProgID="PowerPoint.Slide.12" ShapeID="_x0000_i1058" DrawAspect="Content" ObjectID="_1367902628" r:id="rId51"/>
        </w:object>
      </w:r>
    </w:p>
    <w:p w:rsidR="00FF5E4C" w:rsidRDefault="00FF5E4C" w:rsidP="00C420AA">
      <w:pPr>
        <w:pStyle w:val="NoSpacing"/>
        <w:rPr>
          <w:rFonts w:cs="Calibri"/>
          <w:b/>
          <w:sz w:val="20"/>
          <w:szCs w:val="20"/>
        </w:rPr>
      </w:pPr>
    </w:p>
    <w:p w:rsidR="00FF5E4C" w:rsidRDefault="00FF5E4C" w:rsidP="00C420AA">
      <w:pPr>
        <w:pStyle w:val="NoSpacing"/>
        <w:rPr>
          <w:rFonts w:cs="Calibri"/>
          <w:b/>
          <w:sz w:val="20"/>
          <w:szCs w:val="20"/>
        </w:rPr>
      </w:pPr>
    </w:p>
    <w:p w:rsidR="00FF5E4C" w:rsidRDefault="00FF5E4C" w:rsidP="00C420AA">
      <w:pPr>
        <w:pStyle w:val="NoSpacing"/>
        <w:rPr>
          <w:rFonts w:cs="Calibri"/>
          <w:b/>
          <w:sz w:val="20"/>
          <w:szCs w:val="20"/>
        </w:rPr>
      </w:pPr>
      <w:r w:rsidRPr="00432896">
        <w:rPr>
          <w:rFonts w:cs="Calibri"/>
          <w:b/>
          <w:sz w:val="20"/>
          <w:szCs w:val="20"/>
        </w:rPr>
        <w:t xml:space="preserve">Figure </w:t>
      </w:r>
      <w:r>
        <w:rPr>
          <w:rFonts w:cs="Calibri"/>
          <w:b/>
          <w:sz w:val="20"/>
          <w:szCs w:val="20"/>
        </w:rPr>
        <w:t>F-7</w:t>
      </w:r>
    </w:p>
    <w:p w:rsidR="00FF5E4C" w:rsidRDefault="00FF5E4C" w:rsidP="00C420AA">
      <w:pPr>
        <w:rPr>
          <w:rFonts w:cs="Calibri"/>
          <w:color w:val="000000"/>
        </w:rPr>
      </w:pPr>
    </w:p>
    <w:p w:rsidR="00FF5E4C" w:rsidRDefault="00FF5E4C" w:rsidP="00C420AA">
      <w:pPr>
        <w:rPr>
          <w:rFonts w:cs="Calibri"/>
          <w:color w:val="000000"/>
        </w:rPr>
      </w:pPr>
      <w:r w:rsidRPr="00E33210">
        <w:rPr>
          <w:rFonts w:cs="Calibri"/>
          <w:color w:val="000000"/>
        </w:rPr>
        <w:object w:dxaOrig="7191" w:dyaOrig="5399">
          <v:shape id="_x0000_i1059" type="#_x0000_t75" style="width:359.25pt;height:270pt" o:ole="">
            <v:imagedata r:id="rId52" o:title=""/>
          </v:shape>
          <o:OLEObject Type="Embed" ProgID="PowerPoint.Slide.12" ShapeID="_x0000_i1059" DrawAspect="Content" ObjectID="_1367902629" r:id="rId53"/>
        </w:object>
      </w:r>
    </w:p>
    <w:p w:rsidR="00FF5E4C" w:rsidRDefault="00FF5E4C" w:rsidP="00C420AA">
      <w:pPr>
        <w:pStyle w:val="NoSpacing"/>
        <w:rPr>
          <w:rFonts w:cs="Calibri"/>
          <w:b/>
          <w:sz w:val="20"/>
          <w:szCs w:val="20"/>
        </w:rPr>
      </w:pPr>
      <w:r w:rsidRPr="00432896">
        <w:rPr>
          <w:rFonts w:cs="Calibri"/>
          <w:b/>
          <w:sz w:val="20"/>
          <w:szCs w:val="20"/>
        </w:rPr>
        <w:t xml:space="preserve">Figure </w:t>
      </w:r>
      <w:r>
        <w:rPr>
          <w:rFonts w:cs="Calibri"/>
          <w:b/>
          <w:sz w:val="20"/>
          <w:szCs w:val="20"/>
        </w:rPr>
        <w:t>F-8</w:t>
      </w:r>
    </w:p>
    <w:p w:rsidR="00FF5E4C" w:rsidRDefault="00FF5E4C" w:rsidP="00C420AA">
      <w:pPr>
        <w:rPr>
          <w:rFonts w:cs="Calibri"/>
          <w:color w:val="000000"/>
        </w:rPr>
      </w:pPr>
      <w:r w:rsidRPr="00E33210">
        <w:rPr>
          <w:rFonts w:cs="Calibri"/>
          <w:color w:val="000000"/>
        </w:rPr>
        <w:object w:dxaOrig="7191" w:dyaOrig="5399">
          <v:shape id="_x0000_i1060" type="#_x0000_t75" style="width:359.25pt;height:270pt" o:ole="">
            <v:imagedata r:id="rId54" o:title=""/>
          </v:shape>
          <o:OLEObject Type="Embed" ProgID="PowerPoint.Slide.12" ShapeID="_x0000_i1060" DrawAspect="Content" ObjectID="_1367902630" r:id="rId55"/>
        </w:object>
      </w:r>
    </w:p>
    <w:p w:rsidR="00FF5E4C" w:rsidRDefault="00FF5E4C" w:rsidP="00C420AA">
      <w:pPr>
        <w:pStyle w:val="NoSpacing"/>
        <w:rPr>
          <w:rFonts w:cs="Calibri"/>
          <w:b/>
          <w:sz w:val="20"/>
          <w:szCs w:val="20"/>
        </w:rPr>
      </w:pPr>
    </w:p>
    <w:p w:rsidR="00FF5E4C" w:rsidRDefault="00FF5E4C" w:rsidP="00C420AA">
      <w:pPr>
        <w:pStyle w:val="NoSpacing"/>
        <w:rPr>
          <w:rFonts w:cs="Calibri"/>
          <w:b/>
          <w:sz w:val="20"/>
          <w:szCs w:val="20"/>
        </w:rPr>
      </w:pPr>
    </w:p>
    <w:p w:rsidR="00FF5E4C" w:rsidRDefault="00FF5E4C" w:rsidP="00C420AA">
      <w:pPr>
        <w:pStyle w:val="NoSpacing"/>
        <w:rPr>
          <w:rFonts w:cs="Calibri"/>
          <w:b/>
          <w:sz w:val="20"/>
          <w:szCs w:val="20"/>
        </w:rPr>
      </w:pPr>
      <w:r w:rsidRPr="00432896">
        <w:rPr>
          <w:rFonts w:cs="Calibri"/>
          <w:b/>
          <w:sz w:val="20"/>
          <w:szCs w:val="20"/>
        </w:rPr>
        <w:t xml:space="preserve">Figure </w:t>
      </w:r>
      <w:r>
        <w:rPr>
          <w:rFonts w:cs="Calibri"/>
          <w:b/>
          <w:sz w:val="20"/>
          <w:szCs w:val="20"/>
        </w:rPr>
        <w:t>F-9</w:t>
      </w:r>
    </w:p>
    <w:p w:rsidR="00FF5E4C" w:rsidRDefault="00FF5E4C" w:rsidP="00C420AA">
      <w:pPr>
        <w:rPr>
          <w:rFonts w:cs="Calibri"/>
          <w:color w:val="000000"/>
        </w:rPr>
      </w:pPr>
      <w:r w:rsidRPr="00E33210">
        <w:rPr>
          <w:rFonts w:cs="Calibri"/>
          <w:color w:val="000000"/>
        </w:rPr>
        <w:object w:dxaOrig="7191" w:dyaOrig="5399">
          <v:shape id="_x0000_i1061" type="#_x0000_t75" style="width:359.25pt;height:270pt" o:ole="">
            <v:imagedata r:id="rId56" o:title=""/>
          </v:shape>
          <o:OLEObject Type="Embed" ProgID="PowerPoint.Slide.12" ShapeID="_x0000_i1061" DrawAspect="Content" ObjectID="_1367902631" r:id="rId57"/>
        </w:object>
      </w:r>
    </w:p>
    <w:p w:rsidR="00FF5E4C" w:rsidRDefault="00FF5E4C" w:rsidP="00C420AA">
      <w:pPr>
        <w:pStyle w:val="NoSpacing"/>
        <w:rPr>
          <w:rFonts w:cs="Calibri"/>
          <w:b/>
          <w:sz w:val="20"/>
          <w:szCs w:val="20"/>
        </w:rPr>
      </w:pPr>
      <w:r w:rsidRPr="00432896">
        <w:rPr>
          <w:rFonts w:cs="Calibri"/>
          <w:b/>
          <w:sz w:val="20"/>
          <w:szCs w:val="20"/>
        </w:rPr>
        <w:t xml:space="preserve">Figure </w:t>
      </w:r>
      <w:r>
        <w:rPr>
          <w:rFonts w:cs="Calibri"/>
          <w:b/>
          <w:sz w:val="20"/>
          <w:szCs w:val="20"/>
        </w:rPr>
        <w:t>F-10</w:t>
      </w:r>
    </w:p>
    <w:p w:rsidR="00FF5E4C" w:rsidRPr="009F3361" w:rsidRDefault="00FF5E4C" w:rsidP="00C420AA">
      <w:pPr>
        <w:rPr>
          <w:rFonts w:cs="Calibri"/>
          <w:color w:val="000000"/>
        </w:rPr>
      </w:pPr>
      <w:r w:rsidRPr="00E33210">
        <w:rPr>
          <w:rFonts w:cs="Calibri"/>
          <w:color w:val="000000"/>
        </w:rPr>
        <w:object w:dxaOrig="7191" w:dyaOrig="5399">
          <v:shape id="_x0000_i1062" type="#_x0000_t75" style="width:359.25pt;height:270pt" o:ole="">
            <v:imagedata r:id="rId58" o:title=""/>
          </v:shape>
          <o:OLEObject Type="Embed" ProgID="PowerPoint.Slide.12" ShapeID="_x0000_i1062" DrawAspect="Content" ObjectID="_1367902632" r:id="rId59"/>
        </w:object>
      </w:r>
    </w:p>
    <w:p w:rsidR="00FF5E4C" w:rsidRPr="007207FC" w:rsidRDefault="00FF5E4C" w:rsidP="007207FC">
      <w:pPr>
        <w:pStyle w:val="NoSpacing"/>
        <w:rPr>
          <w:rFonts w:cs="Calibri"/>
          <w:b/>
          <w:bCs/>
          <w:color w:val="000000"/>
          <w:sz w:val="20"/>
          <w:szCs w:val="20"/>
        </w:rPr>
      </w:pPr>
      <w:r w:rsidRPr="007207FC">
        <w:rPr>
          <w:rFonts w:cs="Calibri"/>
          <w:color w:val="000000"/>
          <w:sz w:val="20"/>
          <w:szCs w:val="20"/>
        </w:rPr>
        <w:br w:type="page"/>
      </w:r>
    </w:p>
    <w:p w:rsidR="00FF5E4C" w:rsidRPr="00DE737F" w:rsidRDefault="00FF5E4C" w:rsidP="00DE737F">
      <w:pPr>
        <w:pStyle w:val="Heading2"/>
        <w:rPr>
          <w:rFonts w:ascii="Calibri" w:hAnsi="Calibri" w:cs="Calibri"/>
          <w:color w:val="000000"/>
          <w:sz w:val="22"/>
          <w:szCs w:val="22"/>
        </w:rPr>
      </w:pPr>
      <w:bookmarkStart w:id="12" w:name="_Toc260752703"/>
      <w:r w:rsidRPr="00DE737F">
        <w:rPr>
          <w:rFonts w:ascii="Calibri" w:hAnsi="Calibri" w:cs="Calibri"/>
          <w:color w:val="000000"/>
          <w:sz w:val="22"/>
          <w:szCs w:val="22"/>
        </w:rPr>
        <w:t>High Level Summary of TEPPC 2009 Study Concerning Local/Remote Issue</w:t>
      </w:r>
      <w:bookmarkEnd w:id="12"/>
    </w:p>
    <w:p w:rsidR="00FF5E4C" w:rsidRPr="009F3361" w:rsidRDefault="00FF5E4C" w:rsidP="00466B35">
      <w:pPr>
        <w:pStyle w:val="NoSpacing"/>
        <w:rPr>
          <w:rFonts w:cs="Calibri"/>
          <w:color w:val="000000"/>
        </w:rPr>
      </w:pPr>
    </w:p>
    <w:p w:rsidR="00FF5E4C" w:rsidRDefault="00FF5E4C" w:rsidP="007F3A91">
      <w:pPr>
        <w:pStyle w:val="NoSpacing"/>
        <w:jc w:val="both"/>
        <w:rPr>
          <w:rFonts w:cs="Calibri"/>
          <w:color w:val="000000"/>
          <w:sz w:val="20"/>
          <w:szCs w:val="20"/>
        </w:rPr>
      </w:pPr>
      <w:r w:rsidRPr="007F3A91">
        <w:rPr>
          <w:rFonts w:cs="Calibri"/>
          <w:color w:val="000000"/>
          <w:sz w:val="20"/>
          <w:szCs w:val="20"/>
        </w:rPr>
        <w:t>This is a summary of pages 66 to 84 of WECC’s “Transmission Expansion Planning Policy Committee 2009 Study Program Results Report” dated March 5, 2010 and posted at</w:t>
      </w:r>
      <w:r>
        <w:rPr>
          <w:rFonts w:cs="Calibri"/>
          <w:color w:val="000000"/>
          <w:sz w:val="20"/>
          <w:szCs w:val="20"/>
        </w:rPr>
        <w:t>:</w:t>
      </w:r>
    </w:p>
    <w:p w:rsidR="00FF5E4C" w:rsidRDefault="00FF5E4C" w:rsidP="007F3A91">
      <w:pPr>
        <w:pStyle w:val="NoSpacing"/>
        <w:jc w:val="both"/>
        <w:rPr>
          <w:rFonts w:cs="Calibri"/>
          <w:color w:val="000000"/>
          <w:sz w:val="20"/>
          <w:szCs w:val="20"/>
        </w:rPr>
      </w:pPr>
      <w:r w:rsidRPr="007F3A91">
        <w:rPr>
          <w:rFonts w:cs="Calibri"/>
          <w:color w:val="000000"/>
          <w:sz w:val="20"/>
          <w:szCs w:val="20"/>
        </w:rPr>
        <w:t xml:space="preserve"> </w:t>
      </w:r>
      <w:hyperlink r:id="rId60" w:history="1">
        <w:r w:rsidRPr="00CD6F3D">
          <w:rPr>
            <w:rStyle w:val="Hyperlink"/>
            <w:rFonts w:cs="Calibri"/>
            <w:sz w:val="20"/>
            <w:szCs w:val="20"/>
          </w:rPr>
          <w:t>http://www.wecc.biz/committees/BOD/TEPPC/031110/default.aspx?InstanceID=1</w:t>
        </w:r>
      </w:hyperlink>
      <w:r w:rsidRPr="007F3A91">
        <w:rPr>
          <w:rFonts w:cs="Calibri"/>
          <w:color w:val="000000"/>
          <w:sz w:val="20"/>
          <w:szCs w:val="20"/>
        </w:rPr>
        <w:t>.</w:t>
      </w:r>
    </w:p>
    <w:p w:rsidR="00FF5E4C" w:rsidRDefault="00FF5E4C" w:rsidP="007F3A91">
      <w:pPr>
        <w:pStyle w:val="NoSpacing"/>
        <w:jc w:val="both"/>
        <w:rPr>
          <w:rFonts w:cs="Calibri"/>
          <w:color w:val="000000"/>
          <w:sz w:val="20"/>
          <w:szCs w:val="20"/>
        </w:rPr>
      </w:pPr>
      <w:r w:rsidRPr="007F3A91">
        <w:rPr>
          <w:rFonts w:cs="Calibri"/>
          <w:color w:val="000000"/>
          <w:sz w:val="20"/>
          <w:szCs w:val="20"/>
        </w:rPr>
        <w:t xml:space="preserve"> </w:t>
      </w: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This section of the report compares the costs of adding wind capacity in Washington and Oregon with the costs of adding wind capacity in Wyoming and Montana or in Alberta and British Columbia and transmitting it to Washington and Oregon.</w:t>
      </w:r>
    </w:p>
    <w:p w:rsidR="00FF5E4C" w:rsidRPr="007F3A91" w:rsidRDefault="00FF5E4C" w:rsidP="007F3A91">
      <w:pPr>
        <w:pStyle w:val="NoSpacing"/>
        <w:jc w:val="both"/>
        <w:rPr>
          <w:rFonts w:cs="Calibri"/>
          <w:color w:val="000000"/>
          <w:sz w:val="20"/>
          <w:szCs w:val="20"/>
        </w:rPr>
      </w:pP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The analysis is for the year 2019, building on a base case that assumes that the following 500 kV ac lines are installed in the Northwest between 2012 and 2019:</w:t>
      </w:r>
    </w:p>
    <w:p w:rsidR="00FF5E4C" w:rsidRPr="007F3A91" w:rsidRDefault="00FF5E4C" w:rsidP="007F3A91">
      <w:pPr>
        <w:pStyle w:val="NoSpacing"/>
        <w:jc w:val="both"/>
        <w:rPr>
          <w:rFonts w:cs="Calibri"/>
          <w:color w:val="000000"/>
          <w:sz w:val="20"/>
          <w:szCs w:val="20"/>
        </w:rPr>
      </w:pP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Gateway West: Aeolus-Populus-Hemingway (southeast Wyoming to southwest Idaho) Hemingway-Boardman (southwest Idaho to northeast Oregon)</w:t>
      </w:r>
    </w:p>
    <w:p w:rsidR="00FF5E4C" w:rsidRPr="007F3A91" w:rsidRDefault="00FF5E4C" w:rsidP="00466B35">
      <w:pPr>
        <w:pStyle w:val="NoSpacing"/>
        <w:rPr>
          <w:rFonts w:cs="Calibri"/>
          <w:color w:val="000000"/>
          <w:sz w:val="20"/>
          <w:szCs w:val="20"/>
        </w:rPr>
      </w:pPr>
    </w:p>
    <w:p w:rsidR="00FF5E4C" w:rsidRPr="007F3A91" w:rsidRDefault="00FF5E4C" w:rsidP="00466B35">
      <w:pPr>
        <w:pStyle w:val="NoSpacing"/>
        <w:rPr>
          <w:rFonts w:cs="Calibri"/>
          <w:color w:val="000000"/>
          <w:sz w:val="20"/>
          <w:szCs w:val="20"/>
        </w:rPr>
      </w:pPr>
      <w:r w:rsidRPr="007F3A91">
        <w:rPr>
          <w:rFonts w:cs="Calibri"/>
          <w:color w:val="000000"/>
          <w:sz w:val="20"/>
          <w:szCs w:val="20"/>
        </w:rPr>
        <w:t>The alternative wind capacity additions are:</w:t>
      </w:r>
    </w:p>
    <w:p w:rsidR="00FF5E4C" w:rsidRPr="007F3A91" w:rsidRDefault="00FF5E4C" w:rsidP="00466B35">
      <w:pPr>
        <w:pStyle w:val="NoSpacing"/>
        <w:rPr>
          <w:rFonts w:cs="Calibri"/>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70"/>
        <w:gridCol w:w="2250"/>
        <w:gridCol w:w="1170"/>
        <w:gridCol w:w="1080"/>
        <w:gridCol w:w="3690"/>
      </w:tblGrid>
      <w:tr w:rsidR="00FF5E4C" w:rsidRPr="007F3A91" w:rsidTr="00C24C58">
        <w:tc>
          <w:tcPr>
            <w:tcW w:w="1170" w:type="dxa"/>
          </w:tcPr>
          <w:p w:rsidR="00FF5E4C" w:rsidRPr="00D750E0" w:rsidRDefault="00FF5E4C" w:rsidP="00466B35">
            <w:pPr>
              <w:pStyle w:val="NoSpacing"/>
              <w:rPr>
                <w:rFonts w:cs="Calibri"/>
                <w:color w:val="000000"/>
                <w:sz w:val="20"/>
                <w:szCs w:val="20"/>
              </w:rPr>
            </w:pPr>
          </w:p>
        </w:tc>
        <w:tc>
          <w:tcPr>
            <w:tcW w:w="225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Wind Capacity Added</w:t>
            </w:r>
          </w:p>
        </w:tc>
        <w:tc>
          <w:tcPr>
            <w:tcW w:w="117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Energy Produced (MWh)</w:t>
            </w:r>
          </w:p>
        </w:tc>
        <w:tc>
          <w:tcPr>
            <w:tcW w:w="108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Capacity Factor (%)</w:t>
            </w:r>
          </w:p>
        </w:tc>
        <w:tc>
          <w:tcPr>
            <w:tcW w:w="369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500 kV Transmission Additions Specifically for Wind</w:t>
            </w:r>
          </w:p>
        </w:tc>
      </w:tr>
      <w:tr w:rsidR="00FF5E4C" w:rsidRPr="007F3A91" w:rsidTr="00C24C58">
        <w:tc>
          <w:tcPr>
            <w:tcW w:w="117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Case 1 (2019 EC2)</w:t>
            </w:r>
          </w:p>
        </w:tc>
        <w:tc>
          <w:tcPr>
            <w:tcW w:w="22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Montana 1500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Wyoming 1500 MW</w:t>
            </w:r>
          </w:p>
        </w:tc>
        <w:tc>
          <w:tcPr>
            <w:tcW w:w="117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10,985,000</w:t>
            </w:r>
          </w:p>
        </w:tc>
        <w:tc>
          <w:tcPr>
            <w:tcW w:w="108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41.8%</w:t>
            </w:r>
          </w:p>
        </w:tc>
        <w:tc>
          <w:tcPr>
            <w:tcW w:w="3690" w:type="dxa"/>
          </w:tcPr>
          <w:p w:rsidR="00FF5E4C" w:rsidRPr="00D750E0" w:rsidRDefault="00FF5E4C" w:rsidP="00C24C58">
            <w:pPr>
              <w:pStyle w:val="NoSpacing"/>
              <w:rPr>
                <w:rFonts w:cs="Calibri"/>
                <w:color w:val="000000"/>
                <w:sz w:val="20"/>
                <w:szCs w:val="20"/>
              </w:rPr>
            </w:pPr>
            <w:r w:rsidRPr="00D750E0">
              <w:rPr>
                <w:rFonts w:cs="Calibri"/>
                <w:color w:val="000000"/>
                <w:sz w:val="20"/>
                <w:szCs w:val="20"/>
              </w:rPr>
              <w:t>Townsend MT to Borah ID, Bridger WY to Borah ID, Borah ID to Boardman OR</w:t>
            </w:r>
          </w:p>
        </w:tc>
      </w:tr>
      <w:tr w:rsidR="00FF5E4C" w:rsidRPr="007F3A91" w:rsidTr="00C24C58">
        <w:tc>
          <w:tcPr>
            <w:tcW w:w="117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Case 2 (2019 PC3)</w:t>
            </w:r>
          </w:p>
        </w:tc>
        <w:tc>
          <w:tcPr>
            <w:tcW w:w="22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Washington 1500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Oregon 1500 MW</w:t>
            </w:r>
          </w:p>
        </w:tc>
        <w:tc>
          <w:tcPr>
            <w:tcW w:w="117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6,334,000</w:t>
            </w:r>
          </w:p>
        </w:tc>
        <w:tc>
          <w:tcPr>
            <w:tcW w:w="108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24.1%</w:t>
            </w:r>
          </w:p>
        </w:tc>
        <w:tc>
          <w:tcPr>
            <w:tcW w:w="369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none</w:t>
            </w:r>
          </w:p>
        </w:tc>
      </w:tr>
      <w:tr w:rsidR="00FF5E4C" w:rsidRPr="007F3A91" w:rsidTr="00C24C58">
        <w:tc>
          <w:tcPr>
            <w:tcW w:w="117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Case 3 (2019 EC4)</w:t>
            </w:r>
          </w:p>
        </w:tc>
        <w:tc>
          <w:tcPr>
            <w:tcW w:w="22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Alberta 1500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BC 1500 MW</w:t>
            </w:r>
          </w:p>
        </w:tc>
        <w:tc>
          <w:tcPr>
            <w:tcW w:w="117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8,814,000</w:t>
            </w:r>
          </w:p>
        </w:tc>
        <w:tc>
          <w:tcPr>
            <w:tcW w:w="108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33.5%</w:t>
            </w:r>
          </w:p>
        </w:tc>
        <w:tc>
          <w:tcPr>
            <w:tcW w:w="3690" w:type="dxa"/>
          </w:tcPr>
          <w:p w:rsidR="00FF5E4C" w:rsidRPr="00D750E0" w:rsidRDefault="00FF5E4C" w:rsidP="00C24C58">
            <w:pPr>
              <w:pStyle w:val="NoSpacing"/>
              <w:rPr>
                <w:rFonts w:cs="Calibri"/>
                <w:color w:val="000000"/>
                <w:sz w:val="20"/>
                <w:szCs w:val="20"/>
              </w:rPr>
            </w:pPr>
            <w:r w:rsidRPr="00D750E0">
              <w:rPr>
                <w:rFonts w:cs="Calibri"/>
                <w:color w:val="000000"/>
                <w:sz w:val="20"/>
                <w:szCs w:val="20"/>
              </w:rPr>
              <w:t>Langdon AB to Cranbrook BC</w:t>
            </w:r>
            <w:r>
              <w:rPr>
                <w:rFonts w:cs="Calibri"/>
                <w:color w:val="000000"/>
                <w:sz w:val="20"/>
                <w:szCs w:val="20"/>
              </w:rPr>
              <w:t xml:space="preserve">, </w:t>
            </w:r>
            <w:r w:rsidRPr="00D750E0">
              <w:rPr>
                <w:rFonts w:cs="Calibri"/>
                <w:color w:val="000000"/>
                <w:sz w:val="20"/>
                <w:szCs w:val="20"/>
              </w:rPr>
              <w:t>Cranbrook BC to Bell WA</w:t>
            </w:r>
            <w:r>
              <w:rPr>
                <w:rFonts w:cs="Calibri"/>
                <w:color w:val="000000"/>
                <w:sz w:val="20"/>
                <w:szCs w:val="20"/>
              </w:rPr>
              <w:t xml:space="preserve">, </w:t>
            </w:r>
            <w:r w:rsidRPr="00D750E0">
              <w:rPr>
                <w:rFonts w:cs="Calibri"/>
                <w:color w:val="000000"/>
                <w:sz w:val="20"/>
                <w:szCs w:val="20"/>
              </w:rPr>
              <w:t>Bell WA to John Day OR</w:t>
            </w:r>
          </w:p>
        </w:tc>
      </w:tr>
    </w:tbl>
    <w:p w:rsidR="00FF5E4C" w:rsidRPr="007F3A91" w:rsidRDefault="00FF5E4C" w:rsidP="00466B35">
      <w:pPr>
        <w:pStyle w:val="NoSpacing"/>
        <w:rPr>
          <w:rFonts w:cs="Calibri"/>
          <w:color w:val="000000"/>
          <w:sz w:val="20"/>
          <w:szCs w:val="20"/>
        </w:rPr>
      </w:pP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The following chart compares the capital charges for resource and transmission development along with production cost savings throughout WECC from the simulations (the production cost savings are relative to the Oregon/Washington Case 2).  Findings are that the cases with remote wind have lower overall costs than the case with Washington and Oregon wind.  Capital costs for the remote wind generation facilities are lower which, along with the production cost savings, could justify the additional cost of the transmission.  The Alberta and BC wind case is unusual in that, with the data and methodology used, energy from the rest of WECC flows into Alberta to displace Alberta generation so the savings do not relate entirely to the higher wind output in Canada.  This has the analysts raising questions about the quality of Alberta generating cost and performance data in the simulation model and about the modeling of BC Hydro’s hydroelectric generating system.  The modeling in the Montana and Wyoming wind case is more credible.</w:t>
      </w:r>
    </w:p>
    <w:p w:rsidR="00FF5E4C" w:rsidRPr="007F3A91" w:rsidRDefault="00FF5E4C" w:rsidP="00466B35">
      <w:pPr>
        <w:pStyle w:val="NoSpacing"/>
        <w:rPr>
          <w:rFonts w:cs="Calibri"/>
          <w:color w:val="000000"/>
          <w:sz w:val="20"/>
          <w:szCs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6"/>
        <w:gridCol w:w="2194"/>
        <w:gridCol w:w="1350"/>
        <w:gridCol w:w="1350"/>
        <w:gridCol w:w="1710"/>
        <w:gridCol w:w="1440"/>
      </w:tblGrid>
      <w:tr w:rsidR="00FF5E4C" w:rsidRPr="007F3A91" w:rsidTr="00CB69F0">
        <w:tc>
          <w:tcPr>
            <w:tcW w:w="1136" w:type="dxa"/>
          </w:tcPr>
          <w:p w:rsidR="00FF5E4C" w:rsidRPr="00D750E0" w:rsidRDefault="00FF5E4C" w:rsidP="00466B35">
            <w:pPr>
              <w:pStyle w:val="NoSpacing"/>
              <w:rPr>
                <w:rFonts w:cs="Calibri"/>
                <w:color w:val="000000"/>
                <w:sz w:val="20"/>
                <w:szCs w:val="20"/>
              </w:rPr>
            </w:pPr>
          </w:p>
        </w:tc>
        <w:tc>
          <w:tcPr>
            <w:tcW w:w="2194"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Wind Capacity Added</w:t>
            </w:r>
          </w:p>
        </w:tc>
        <w:tc>
          <w:tcPr>
            <w:tcW w:w="135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Resource (wind) Capital Costs</w:t>
            </w:r>
          </w:p>
          <w:p w:rsidR="00FF5E4C" w:rsidRPr="00D750E0" w:rsidRDefault="00FF5E4C" w:rsidP="00466B35">
            <w:pPr>
              <w:pStyle w:val="NoSpacing"/>
              <w:rPr>
                <w:rFonts w:cs="Calibri"/>
                <w:b/>
                <w:color w:val="000000"/>
                <w:sz w:val="20"/>
                <w:szCs w:val="20"/>
              </w:rPr>
            </w:pPr>
            <w:r w:rsidRPr="00D750E0">
              <w:rPr>
                <w:rFonts w:cs="Calibri"/>
                <w:b/>
                <w:color w:val="000000"/>
                <w:sz w:val="20"/>
                <w:szCs w:val="20"/>
              </w:rPr>
              <w:t>($million/yr)</w:t>
            </w:r>
          </w:p>
        </w:tc>
        <w:tc>
          <w:tcPr>
            <w:tcW w:w="135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New Transmission Capital Costs</w:t>
            </w:r>
          </w:p>
          <w:p w:rsidR="00FF5E4C" w:rsidRPr="00D750E0" w:rsidRDefault="00FF5E4C" w:rsidP="00466B35">
            <w:pPr>
              <w:pStyle w:val="NoSpacing"/>
              <w:rPr>
                <w:rFonts w:cs="Calibri"/>
                <w:b/>
                <w:color w:val="000000"/>
                <w:sz w:val="20"/>
                <w:szCs w:val="20"/>
              </w:rPr>
            </w:pPr>
            <w:r w:rsidRPr="00D750E0">
              <w:rPr>
                <w:rFonts w:cs="Calibri"/>
                <w:b/>
                <w:color w:val="000000"/>
                <w:sz w:val="20"/>
                <w:szCs w:val="20"/>
              </w:rPr>
              <w:t>($million/yr)</w:t>
            </w:r>
          </w:p>
        </w:tc>
        <w:tc>
          <w:tcPr>
            <w:tcW w:w="1710" w:type="dxa"/>
          </w:tcPr>
          <w:p w:rsidR="00FF5E4C" w:rsidRPr="00D750E0" w:rsidRDefault="00FF5E4C" w:rsidP="00466B35">
            <w:pPr>
              <w:pStyle w:val="NoSpacing"/>
              <w:rPr>
                <w:rFonts w:cs="Calibri"/>
                <w:b/>
                <w:color w:val="000000"/>
                <w:sz w:val="20"/>
                <w:szCs w:val="20"/>
              </w:rPr>
            </w:pPr>
            <w:r>
              <w:rPr>
                <w:rFonts w:cs="Calibri"/>
                <w:b/>
                <w:color w:val="000000"/>
                <w:sz w:val="20"/>
                <w:szCs w:val="20"/>
              </w:rPr>
              <w:t>Production Cost Savings - all</w:t>
            </w:r>
            <w:r w:rsidRPr="00D750E0">
              <w:rPr>
                <w:rFonts w:cs="Calibri"/>
                <w:b/>
                <w:color w:val="000000"/>
                <w:sz w:val="20"/>
                <w:szCs w:val="20"/>
              </w:rPr>
              <w:t xml:space="preserve"> WECC </w:t>
            </w:r>
            <w:r>
              <w:rPr>
                <w:rFonts w:cs="Calibri"/>
                <w:b/>
                <w:color w:val="000000"/>
                <w:sz w:val="20"/>
                <w:szCs w:val="20"/>
              </w:rPr>
              <w:t xml:space="preserve">with </w:t>
            </w:r>
            <w:r w:rsidRPr="00D750E0">
              <w:rPr>
                <w:rFonts w:cs="Calibri"/>
                <w:b/>
                <w:color w:val="000000"/>
                <w:sz w:val="20"/>
                <w:szCs w:val="20"/>
              </w:rPr>
              <w:t>Case 2 as reference ($million/yr)</w:t>
            </w:r>
          </w:p>
        </w:tc>
        <w:tc>
          <w:tcPr>
            <w:tcW w:w="144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Total</w:t>
            </w:r>
          </w:p>
          <w:p w:rsidR="00FF5E4C" w:rsidRPr="00D750E0" w:rsidRDefault="00FF5E4C" w:rsidP="00466B35">
            <w:pPr>
              <w:pStyle w:val="NoSpacing"/>
              <w:rPr>
                <w:rFonts w:cs="Calibri"/>
                <w:b/>
                <w:color w:val="000000"/>
                <w:sz w:val="20"/>
                <w:szCs w:val="20"/>
              </w:rPr>
            </w:pPr>
            <w:r w:rsidRPr="00D750E0">
              <w:rPr>
                <w:rFonts w:cs="Calibri"/>
                <w:b/>
                <w:color w:val="000000"/>
                <w:sz w:val="20"/>
                <w:szCs w:val="20"/>
              </w:rPr>
              <w:t>($million/yr)</w:t>
            </w:r>
          </w:p>
        </w:tc>
      </w:tr>
      <w:tr w:rsidR="00FF5E4C" w:rsidRPr="007F3A91" w:rsidTr="00CB69F0">
        <w:tc>
          <w:tcPr>
            <w:tcW w:w="1136"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 xml:space="preserve">Case 1 </w:t>
            </w:r>
          </w:p>
        </w:tc>
        <w:tc>
          <w:tcPr>
            <w:tcW w:w="2194"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Montana 1500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Wyoming 1500 MW</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$670</w:t>
            </w:r>
          </w:p>
          <w:p w:rsidR="00FF5E4C" w:rsidRPr="00D750E0" w:rsidRDefault="00FF5E4C" w:rsidP="00466B35">
            <w:pPr>
              <w:pStyle w:val="NoSpacing"/>
              <w:rPr>
                <w:rFonts w:cs="Calibri"/>
                <w:color w:val="000000"/>
                <w:sz w:val="20"/>
                <w:szCs w:val="20"/>
              </w:rPr>
            </w:pP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$265</w:t>
            </w:r>
          </w:p>
        </w:tc>
        <w:tc>
          <w:tcPr>
            <w:tcW w:w="171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-$275</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$660</w:t>
            </w:r>
          </w:p>
        </w:tc>
      </w:tr>
      <w:tr w:rsidR="00FF5E4C" w:rsidRPr="007F3A91" w:rsidTr="00CB69F0">
        <w:tc>
          <w:tcPr>
            <w:tcW w:w="1136"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 xml:space="preserve">Case 2 </w:t>
            </w:r>
          </w:p>
        </w:tc>
        <w:tc>
          <w:tcPr>
            <w:tcW w:w="2194"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Washington 1500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Oregon 1500 MW</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$765</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0</w:t>
            </w:r>
          </w:p>
        </w:tc>
        <w:tc>
          <w:tcPr>
            <w:tcW w:w="171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0</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$765</w:t>
            </w:r>
          </w:p>
        </w:tc>
      </w:tr>
      <w:tr w:rsidR="00FF5E4C" w:rsidRPr="007F3A91" w:rsidTr="00CB69F0">
        <w:tc>
          <w:tcPr>
            <w:tcW w:w="1136"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 xml:space="preserve">Case 3 </w:t>
            </w:r>
          </w:p>
        </w:tc>
        <w:tc>
          <w:tcPr>
            <w:tcW w:w="2194"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Alberta 1500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BC 1500 MW</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$725</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$194</w:t>
            </w:r>
          </w:p>
        </w:tc>
        <w:tc>
          <w:tcPr>
            <w:tcW w:w="171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-$299</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$620</w:t>
            </w:r>
          </w:p>
        </w:tc>
      </w:tr>
    </w:tbl>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The analysis is extended to have the same energy producing capability from wind in each region rather than the same capacity.  Requirements are set at the output of the Washington and Oregon additions (6,334 GWh or 723 average MW).  This reduces the total required wind capacity from 3,000 MW to 1,758 MW in Montana and Wyoming and 2,156 MW in Alberta and BC.  Results are as follows:</w:t>
      </w:r>
    </w:p>
    <w:p w:rsidR="00FF5E4C" w:rsidRPr="007F3A91" w:rsidRDefault="00FF5E4C" w:rsidP="00466B35">
      <w:pPr>
        <w:pStyle w:val="NoSpacing"/>
        <w:rPr>
          <w:rFonts w:cs="Calibri"/>
          <w:color w:val="000000"/>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2160"/>
        <w:gridCol w:w="1080"/>
        <w:gridCol w:w="1440"/>
        <w:gridCol w:w="1350"/>
        <w:gridCol w:w="1440"/>
        <w:gridCol w:w="1350"/>
      </w:tblGrid>
      <w:tr w:rsidR="00FF5E4C" w:rsidRPr="007F3A91" w:rsidTr="004D62CF">
        <w:tc>
          <w:tcPr>
            <w:tcW w:w="828" w:type="dxa"/>
          </w:tcPr>
          <w:p w:rsidR="00FF5E4C" w:rsidRPr="00D750E0" w:rsidRDefault="00FF5E4C" w:rsidP="00466B35">
            <w:pPr>
              <w:pStyle w:val="NoSpacing"/>
              <w:rPr>
                <w:rFonts w:cs="Calibri"/>
                <w:color w:val="000000"/>
                <w:sz w:val="20"/>
                <w:szCs w:val="20"/>
              </w:rPr>
            </w:pPr>
          </w:p>
        </w:tc>
        <w:tc>
          <w:tcPr>
            <w:tcW w:w="216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Wind Capacity Added</w:t>
            </w:r>
          </w:p>
        </w:tc>
        <w:tc>
          <w:tcPr>
            <w:tcW w:w="108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Capacity Factor of wind</w:t>
            </w:r>
          </w:p>
        </w:tc>
        <w:tc>
          <w:tcPr>
            <w:tcW w:w="144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Resource (wind) Capital Costs</w:t>
            </w:r>
          </w:p>
          <w:p w:rsidR="00FF5E4C" w:rsidRPr="00D750E0" w:rsidRDefault="00FF5E4C" w:rsidP="00466B35">
            <w:pPr>
              <w:pStyle w:val="NoSpacing"/>
              <w:rPr>
                <w:rFonts w:cs="Calibri"/>
                <w:b/>
                <w:color w:val="000000"/>
                <w:sz w:val="20"/>
                <w:szCs w:val="20"/>
              </w:rPr>
            </w:pPr>
            <w:r w:rsidRPr="00D750E0">
              <w:rPr>
                <w:rFonts w:cs="Calibri"/>
                <w:b/>
                <w:color w:val="000000"/>
                <w:sz w:val="20"/>
                <w:szCs w:val="20"/>
              </w:rPr>
              <w:t>($million/yr)</w:t>
            </w:r>
          </w:p>
        </w:tc>
        <w:tc>
          <w:tcPr>
            <w:tcW w:w="1350" w:type="dxa"/>
          </w:tcPr>
          <w:p w:rsidR="00FF5E4C" w:rsidRPr="00D750E0" w:rsidRDefault="00FF5E4C" w:rsidP="00466B35">
            <w:pPr>
              <w:pStyle w:val="NoSpacing"/>
              <w:rPr>
                <w:rFonts w:cs="Calibri"/>
                <w:b/>
                <w:color w:val="000000"/>
                <w:sz w:val="20"/>
                <w:szCs w:val="20"/>
              </w:rPr>
            </w:pPr>
            <w:r>
              <w:rPr>
                <w:rFonts w:cs="Calibri"/>
                <w:b/>
                <w:color w:val="000000"/>
                <w:sz w:val="20"/>
                <w:szCs w:val="20"/>
              </w:rPr>
              <w:t>New Transmiss</w:t>
            </w:r>
            <w:r w:rsidRPr="00D750E0">
              <w:rPr>
                <w:rFonts w:cs="Calibri"/>
                <w:b/>
                <w:color w:val="000000"/>
                <w:sz w:val="20"/>
                <w:szCs w:val="20"/>
              </w:rPr>
              <w:t>ion Capital Costs</w:t>
            </w:r>
          </w:p>
          <w:p w:rsidR="00FF5E4C" w:rsidRPr="00D750E0" w:rsidRDefault="00FF5E4C" w:rsidP="00466B35">
            <w:pPr>
              <w:pStyle w:val="NoSpacing"/>
              <w:rPr>
                <w:rFonts w:cs="Calibri"/>
                <w:b/>
                <w:color w:val="000000"/>
                <w:sz w:val="20"/>
                <w:szCs w:val="20"/>
              </w:rPr>
            </w:pPr>
            <w:r w:rsidRPr="00D750E0">
              <w:rPr>
                <w:rFonts w:cs="Calibri"/>
                <w:b/>
                <w:color w:val="000000"/>
                <w:sz w:val="20"/>
                <w:szCs w:val="20"/>
              </w:rPr>
              <w:t>($million/yr)</w:t>
            </w:r>
          </w:p>
        </w:tc>
        <w:tc>
          <w:tcPr>
            <w:tcW w:w="144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 xml:space="preserve">Production Cost Savings </w:t>
            </w:r>
            <w:r>
              <w:rPr>
                <w:rFonts w:cs="Calibri"/>
                <w:b/>
                <w:color w:val="000000"/>
                <w:sz w:val="20"/>
                <w:szCs w:val="20"/>
              </w:rPr>
              <w:t>- all</w:t>
            </w:r>
            <w:r w:rsidRPr="00D750E0">
              <w:rPr>
                <w:rFonts w:cs="Calibri"/>
                <w:b/>
                <w:color w:val="000000"/>
                <w:sz w:val="20"/>
                <w:szCs w:val="20"/>
              </w:rPr>
              <w:t xml:space="preserve"> WECC with Case 2 as reference ($million/yr)</w:t>
            </w:r>
          </w:p>
        </w:tc>
        <w:tc>
          <w:tcPr>
            <w:tcW w:w="135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Total</w:t>
            </w:r>
          </w:p>
          <w:p w:rsidR="00FF5E4C" w:rsidRPr="00D750E0" w:rsidRDefault="00FF5E4C" w:rsidP="00466B35">
            <w:pPr>
              <w:pStyle w:val="NoSpacing"/>
              <w:rPr>
                <w:rFonts w:cs="Calibri"/>
                <w:b/>
                <w:color w:val="000000"/>
                <w:sz w:val="20"/>
                <w:szCs w:val="20"/>
              </w:rPr>
            </w:pPr>
            <w:r w:rsidRPr="00D750E0">
              <w:rPr>
                <w:rFonts w:cs="Calibri"/>
                <w:b/>
                <w:color w:val="000000"/>
                <w:sz w:val="20"/>
                <w:szCs w:val="20"/>
              </w:rPr>
              <w:t>($million/yr)</w:t>
            </w:r>
          </w:p>
        </w:tc>
      </w:tr>
      <w:tr w:rsidR="00FF5E4C" w:rsidRPr="007F3A91" w:rsidTr="004D62CF">
        <w:tc>
          <w:tcPr>
            <w:tcW w:w="828"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 xml:space="preserve">Case 1 </w:t>
            </w:r>
          </w:p>
        </w:tc>
        <w:tc>
          <w:tcPr>
            <w:tcW w:w="216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Montana 880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Wyoming 880 MW</w:t>
            </w:r>
          </w:p>
        </w:tc>
        <w:tc>
          <w:tcPr>
            <w:tcW w:w="108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41.8%</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$411</w:t>
            </w:r>
          </w:p>
          <w:p w:rsidR="00FF5E4C" w:rsidRPr="00D750E0" w:rsidRDefault="00FF5E4C" w:rsidP="00466B35">
            <w:pPr>
              <w:pStyle w:val="NoSpacing"/>
              <w:rPr>
                <w:rFonts w:cs="Calibri"/>
                <w:color w:val="000000"/>
                <w:sz w:val="20"/>
                <w:szCs w:val="20"/>
              </w:rPr>
            </w:pP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$265</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-$42</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$634</w:t>
            </w:r>
          </w:p>
        </w:tc>
      </w:tr>
      <w:tr w:rsidR="00FF5E4C" w:rsidRPr="007F3A91" w:rsidTr="004D62CF">
        <w:tc>
          <w:tcPr>
            <w:tcW w:w="828"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 xml:space="preserve">Case 2 </w:t>
            </w:r>
          </w:p>
        </w:tc>
        <w:tc>
          <w:tcPr>
            <w:tcW w:w="216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Washington 1500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Oregon 1500 MW</w:t>
            </w:r>
          </w:p>
        </w:tc>
        <w:tc>
          <w:tcPr>
            <w:tcW w:w="108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24.1%</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$765</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0</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0</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$765</w:t>
            </w:r>
          </w:p>
        </w:tc>
      </w:tr>
      <w:tr w:rsidR="00FF5E4C" w:rsidRPr="007F3A91" w:rsidTr="004D62CF">
        <w:tc>
          <w:tcPr>
            <w:tcW w:w="828"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 xml:space="preserve">Case 3 </w:t>
            </w:r>
          </w:p>
        </w:tc>
        <w:tc>
          <w:tcPr>
            <w:tcW w:w="216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Alberta 1080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BC 1080 MW</w:t>
            </w:r>
          </w:p>
        </w:tc>
        <w:tc>
          <w:tcPr>
            <w:tcW w:w="108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33.5%</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$521</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$194</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-$153</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$562</w:t>
            </w:r>
          </w:p>
        </w:tc>
      </w:tr>
    </w:tbl>
    <w:p w:rsidR="00FF5E4C" w:rsidRPr="007F3A91" w:rsidRDefault="00FF5E4C" w:rsidP="00466B35">
      <w:pPr>
        <w:pStyle w:val="NoSpacing"/>
        <w:rPr>
          <w:rFonts w:cs="Calibri"/>
          <w:color w:val="000000"/>
          <w:sz w:val="20"/>
          <w:szCs w:val="20"/>
        </w:rPr>
      </w:pP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In these cases too, costs are lower with remote wind, although the case for Alberta and BC wind is being reviewed as mentioned earlier.</w:t>
      </w:r>
    </w:p>
    <w:p w:rsidR="00FF5E4C" w:rsidRPr="007F3A91" w:rsidRDefault="00FF5E4C" w:rsidP="007F3A91">
      <w:pPr>
        <w:pStyle w:val="NoSpacing"/>
        <w:jc w:val="both"/>
        <w:rPr>
          <w:rFonts w:cs="Calibri"/>
          <w:color w:val="000000"/>
          <w:sz w:val="20"/>
          <w:szCs w:val="20"/>
        </w:rPr>
      </w:pPr>
    </w:p>
    <w:p w:rsidR="00FF5E4C" w:rsidRPr="007F3A91" w:rsidRDefault="00FF5E4C" w:rsidP="004D62CF">
      <w:pPr>
        <w:pStyle w:val="NoSpacing"/>
        <w:jc w:val="both"/>
        <w:rPr>
          <w:rFonts w:cs="Calibri"/>
          <w:color w:val="000000"/>
          <w:sz w:val="20"/>
          <w:szCs w:val="20"/>
        </w:rPr>
      </w:pPr>
      <w:r w:rsidRPr="007F3A91">
        <w:rPr>
          <w:rFonts w:cs="Calibri"/>
          <w:color w:val="000000"/>
          <w:sz w:val="20"/>
          <w:szCs w:val="20"/>
        </w:rPr>
        <w:t>This analysis assumed that the Oregon/Washington wind had an annual capacity factor of 24%.  This value was shown to be low (see “Comparison of NREL Data with Historical NW Data” section).   If the capacity factor in the cost calculations were 31% for the Oregon/Washington wind, the required capacity would be reduced from 3000 MW to 2332 MW to produce 6,333,890 MWh in the Washington/Oregon area.  The cost of this resource development would then be $595 million.  This same energy production from fewer machines should result in the same production cost savings as the original study, so the total cost of the Oregon/Washington resource and transmission scenario would be reduced from $765 to $595 million.  This estimate would then be lower than the total cost of $634 for the Montana/Wyoming estimate but higher than the questionable estimate of $562 for Alberta/British Columbia.  The total cost of the resource scenarios with NW wind capacity factor of 31% are summarized below.</w:t>
      </w:r>
    </w:p>
    <w:p w:rsidR="00FF5E4C" w:rsidRPr="007F3A91" w:rsidRDefault="00FF5E4C" w:rsidP="00466B35">
      <w:pPr>
        <w:pStyle w:val="NoSpacing"/>
        <w:rPr>
          <w:rFonts w:cs="Calibri"/>
          <w:color w:val="000000"/>
          <w:sz w:val="20"/>
          <w:szCs w:val="20"/>
        </w:rPr>
      </w:pPr>
    </w:p>
    <w:p w:rsidR="00FF5E4C" w:rsidRPr="007F3A91" w:rsidRDefault="00FF5E4C" w:rsidP="00466B35">
      <w:pPr>
        <w:pStyle w:val="NoSpacing"/>
        <w:rPr>
          <w:rFonts w:cs="Calibri"/>
          <w:color w:val="000000"/>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8"/>
        <w:gridCol w:w="2160"/>
        <w:gridCol w:w="990"/>
        <w:gridCol w:w="1440"/>
        <w:gridCol w:w="1350"/>
        <w:gridCol w:w="1440"/>
        <w:gridCol w:w="1350"/>
      </w:tblGrid>
      <w:tr w:rsidR="00FF5E4C" w:rsidRPr="007F3A91" w:rsidTr="00D750E0">
        <w:tc>
          <w:tcPr>
            <w:tcW w:w="918" w:type="dxa"/>
          </w:tcPr>
          <w:p w:rsidR="00FF5E4C" w:rsidRPr="00D750E0" w:rsidRDefault="00FF5E4C" w:rsidP="00466B35">
            <w:pPr>
              <w:pStyle w:val="NoSpacing"/>
              <w:rPr>
                <w:rFonts w:cs="Calibri"/>
                <w:color w:val="000000"/>
                <w:sz w:val="20"/>
                <w:szCs w:val="20"/>
              </w:rPr>
            </w:pPr>
          </w:p>
        </w:tc>
        <w:tc>
          <w:tcPr>
            <w:tcW w:w="216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Wind Capacity Added</w:t>
            </w:r>
          </w:p>
        </w:tc>
        <w:tc>
          <w:tcPr>
            <w:tcW w:w="99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Capacity Factor of wind</w:t>
            </w:r>
          </w:p>
        </w:tc>
        <w:tc>
          <w:tcPr>
            <w:tcW w:w="144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Resource (wind) Capital Costs</w:t>
            </w:r>
          </w:p>
          <w:p w:rsidR="00FF5E4C" w:rsidRPr="00D750E0" w:rsidRDefault="00FF5E4C" w:rsidP="00466B35">
            <w:pPr>
              <w:pStyle w:val="NoSpacing"/>
              <w:rPr>
                <w:rFonts w:cs="Calibri"/>
                <w:b/>
                <w:color w:val="000000"/>
                <w:sz w:val="20"/>
                <w:szCs w:val="20"/>
              </w:rPr>
            </w:pPr>
            <w:r w:rsidRPr="00D750E0">
              <w:rPr>
                <w:rFonts w:cs="Calibri"/>
                <w:b/>
                <w:color w:val="000000"/>
                <w:sz w:val="20"/>
                <w:szCs w:val="20"/>
              </w:rPr>
              <w:t>($million/yr)</w:t>
            </w:r>
          </w:p>
        </w:tc>
        <w:tc>
          <w:tcPr>
            <w:tcW w:w="135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New Transmission Capital Costs</w:t>
            </w:r>
          </w:p>
          <w:p w:rsidR="00FF5E4C" w:rsidRPr="00D750E0" w:rsidRDefault="00FF5E4C" w:rsidP="00466B35">
            <w:pPr>
              <w:pStyle w:val="NoSpacing"/>
              <w:rPr>
                <w:rFonts w:cs="Calibri"/>
                <w:b/>
                <w:color w:val="000000"/>
                <w:sz w:val="20"/>
                <w:szCs w:val="20"/>
              </w:rPr>
            </w:pPr>
            <w:r w:rsidRPr="00D750E0">
              <w:rPr>
                <w:rFonts w:cs="Calibri"/>
                <w:b/>
                <w:color w:val="000000"/>
                <w:sz w:val="20"/>
                <w:szCs w:val="20"/>
              </w:rPr>
              <w:t>($million/yr)</w:t>
            </w:r>
          </w:p>
        </w:tc>
        <w:tc>
          <w:tcPr>
            <w:tcW w:w="144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 xml:space="preserve">Production Cost Savings </w:t>
            </w:r>
            <w:r>
              <w:rPr>
                <w:rFonts w:cs="Calibri"/>
                <w:b/>
                <w:color w:val="000000"/>
                <w:sz w:val="20"/>
                <w:szCs w:val="20"/>
              </w:rPr>
              <w:t>- all</w:t>
            </w:r>
            <w:r w:rsidRPr="00D750E0">
              <w:rPr>
                <w:rFonts w:cs="Calibri"/>
                <w:b/>
                <w:color w:val="000000"/>
                <w:sz w:val="20"/>
                <w:szCs w:val="20"/>
              </w:rPr>
              <w:t xml:space="preserve"> WECC with Case 2 as reference ($million/yr)</w:t>
            </w:r>
          </w:p>
        </w:tc>
        <w:tc>
          <w:tcPr>
            <w:tcW w:w="1350"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Total</w:t>
            </w:r>
          </w:p>
          <w:p w:rsidR="00FF5E4C" w:rsidRPr="00D750E0" w:rsidRDefault="00FF5E4C" w:rsidP="00466B35">
            <w:pPr>
              <w:pStyle w:val="NoSpacing"/>
              <w:rPr>
                <w:rFonts w:cs="Calibri"/>
                <w:b/>
                <w:color w:val="000000"/>
                <w:sz w:val="20"/>
                <w:szCs w:val="20"/>
              </w:rPr>
            </w:pPr>
            <w:r w:rsidRPr="00D750E0">
              <w:rPr>
                <w:rFonts w:cs="Calibri"/>
                <w:b/>
                <w:color w:val="000000"/>
                <w:sz w:val="20"/>
                <w:szCs w:val="20"/>
              </w:rPr>
              <w:t>($million/yr)</w:t>
            </w:r>
          </w:p>
        </w:tc>
      </w:tr>
      <w:tr w:rsidR="00FF5E4C" w:rsidRPr="007F3A91" w:rsidTr="00D750E0">
        <w:tc>
          <w:tcPr>
            <w:tcW w:w="918"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 xml:space="preserve">Case 1 </w:t>
            </w:r>
          </w:p>
        </w:tc>
        <w:tc>
          <w:tcPr>
            <w:tcW w:w="216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Montana 880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Wyoming 880 MW</w:t>
            </w:r>
          </w:p>
        </w:tc>
        <w:tc>
          <w:tcPr>
            <w:tcW w:w="99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41.8%</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$411</w:t>
            </w:r>
          </w:p>
          <w:p w:rsidR="00FF5E4C" w:rsidRPr="00D750E0" w:rsidRDefault="00FF5E4C" w:rsidP="00466B35">
            <w:pPr>
              <w:pStyle w:val="NoSpacing"/>
              <w:rPr>
                <w:rFonts w:cs="Calibri"/>
                <w:color w:val="000000"/>
                <w:sz w:val="20"/>
                <w:szCs w:val="20"/>
              </w:rPr>
            </w:pP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$265</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-$42</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$634</w:t>
            </w:r>
          </w:p>
        </w:tc>
      </w:tr>
      <w:tr w:rsidR="00FF5E4C" w:rsidRPr="007F3A91" w:rsidTr="00D750E0">
        <w:tc>
          <w:tcPr>
            <w:tcW w:w="918"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 xml:space="preserve">Case 2 </w:t>
            </w:r>
          </w:p>
        </w:tc>
        <w:tc>
          <w:tcPr>
            <w:tcW w:w="216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Washington 1166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Oregon 1166 MW</w:t>
            </w:r>
          </w:p>
        </w:tc>
        <w:tc>
          <w:tcPr>
            <w:tcW w:w="99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31.0%</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$595</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0</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0</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$595</w:t>
            </w:r>
          </w:p>
        </w:tc>
      </w:tr>
      <w:tr w:rsidR="00FF5E4C" w:rsidRPr="007F3A91" w:rsidTr="00D750E0">
        <w:tc>
          <w:tcPr>
            <w:tcW w:w="918" w:type="dxa"/>
          </w:tcPr>
          <w:p w:rsidR="00FF5E4C" w:rsidRPr="00D750E0" w:rsidRDefault="00FF5E4C" w:rsidP="00466B35">
            <w:pPr>
              <w:pStyle w:val="NoSpacing"/>
              <w:rPr>
                <w:rFonts w:cs="Calibri"/>
                <w:b/>
                <w:color w:val="000000"/>
                <w:sz w:val="20"/>
                <w:szCs w:val="20"/>
              </w:rPr>
            </w:pPr>
            <w:r w:rsidRPr="00D750E0">
              <w:rPr>
                <w:rFonts w:cs="Calibri"/>
                <w:b/>
                <w:color w:val="000000"/>
                <w:sz w:val="20"/>
                <w:szCs w:val="20"/>
              </w:rPr>
              <w:t xml:space="preserve">Case 3 </w:t>
            </w:r>
          </w:p>
        </w:tc>
        <w:tc>
          <w:tcPr>
            <w:tcW w:w="216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Alberta 1080 MW</w:t>
            </w:r>
          </w:p>
          <w:p w:rsidR="00FF5E4C" w:rsidRPr="00D750E0" w:rsidRDefault="00FF5E4C" w:rsidP="00466B35">
            <w:pPr>
              <w:pStyle w:val="NoSpacing"/>
              <w:rPr>
                <w:rFonts w:cs="Calibri"/>
                <w:color w:val="000000"/>
                <w:sz w:val="20"/>
                <w:szCs w:val="20"/>
              </w:rPr>
            </w:pPr>
            <w:r w:rsidRPr="00D750E0">
              <w:rPr>
                <w:rFonts w:cs="Calibri"/>
                <w:color w:val="000000"/>
                <w:sz w:val="20"/>
                <w:szCs w:val="20"/>
              </w:rPr>
              <w:t>BC 1080 MW</w:t>
            </w:r>
          </w:p>
        </w:tc>
        <w:tc>
          <w:tcPr>
            <w:tcW w:w="99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33.5%</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$521</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$194</w:t>
            </w:r>
          </w:p>
        </w:tc>
        <w:tc>
          <w:tcPr>
            <w:tcW w:w="144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-$153</w:t>
            </w:r>
          </w:p>
        </w:tc>
        <w:tc>
          <w:tcPr>
            <w:tcW w:w="1350" w:type="dxa"/>
          </w:tcPr>
          <w:p w:rsidR="00FF5E4C" w:rsidRPr="00D750E0" w:rsidRDefault="00FF5E4C" w:rsidP="00466B35">
            <w:pPr>
              <w:pStyle w:val="NoSpacing"/>
              <w:rPr>
                <w:rFonts w:cs="Calibri"/>
                <w:color w:val="000000"/>
                <w:sz w:val="20"/>
                <w:szCs w:val="20"/>
              </w:rPr>
            </w:pPr>
            <w:r w:rsidRPr="00D750E0">
              <w:rPr>
                <w:rFonts w:cs="Calibri"/>
                <w:color w:val="000000"/>
                <w:sz w:val="20"/>
                <w:szCs w:val="20"/>
              </w:rPr>
              <w:t>$562</w:t>
            </w:r>
          </w:p>
        </w:tc>
      </w:tr>
    </w:tbl>
    <w:p w:rsidR="00FF5E4C" w:rsidRPr="007F3A91" w:rsidRDefault="00FF5E4C" w:rsidP="00466B35">
      <w:pPr>
        <w:pStyle w:val="NoSpacing"/>
        <w:rPr>
          <w:rFonts w:cs="Calibri"/>
          <w:color w:val="000000"/>
          <w:sz w:val="20"/>
          <w:szCs w:val="20"/>
          <w:u w:val="single"/>
        </w:rPr>
      </w:pPr>
    </w:p>
    <w:p w:rsidR="00FF5E4C" w:rsidRPr="00E26FE8" w:rsidRDefault="00FF5E4C" w:rsidP="007F3A91">
      <w:pPr>
        <w:pStyle w:val="NoSpacing"/>
        <w:jc w:val="both"/>
        <w:rPr>
          <w:rFonts w:cs="Calibri"/>
          <w:b/>
          <w:color w:val="000000"/>
          <w:sz w:val="20"/>
          <w:szCs w:val="20"/>
          <w:u w:val="single"/>
        </w:rPr>
      </w:pPr>
      <w:r w:rsidRPr="00E26FE8">
        <w:rPr>
          <w:rFonts w:cs="Calibri"/>
          <w:b/>
          <w:color w:val="000000"/>
          <w:sz w:val="20"/>
          <w:szCs w:val="20"/>
          <w:u w:val="single"/>
        </w:rPr>
        <w:t>Key Assumptions</w:t>
      </w:r>
    </w:p>
    <w:p w:rsidR="00FF5E4C" w:rsidRDefault="00FF5E4C" w:rsidP="007F3A91">
      <w:pPr>
        <w:pStyle w:val="NoSpacing"/>
        <w:jc w:val="both"/>
        <w:rPr>
          <w:rFonts w:cs="Calibri"/>
          <w:color w:val="000000"/>
          <w:sz w:val="20"/>
          <w:szCs w:val="20"/>
        </w:rPr>
      </w:pPr>
      <w:r w:rsidRPr="007F3A91">
        <w:rPr>
          <w:rFonts w:cs="Calibri"/>
          <w:color w:val="000000"/>
          <w:sz w:val="20"/>
          <w:szCs w:val="20"/>
        </w:rPr>
        <w:t>NREL data shows that the annual capacity factor of the Oregon/Washington wind is about 24% while historical data and the Power Council data show capacity factors around 31%.  This higher capacity factor could change the outcome of the analysis (see above).</w:t>
      </w:r>
    </w:p>
    <w:p w:rsidR="00FF5E4C" w:rsidRPr="007F3A91" w:rsidRDefault="00FF5E4C" w:rsidP="007F3A91">
      <w:pPr>
        <w:pStyle w:val="NoSpacing"/>
        <w:jc w:val="both"/>
        <w:rPr>
          <w:rFonts w:cs="Calibri"/>
          <w:color w:val="000000"/>
          <w:sz w:val="20"/>
          <w:szCs w:val="20"/>
        </w:rPr>
      </w:pPr>
    </w:p>
    <w:p w:rsidR="00FF5E4C" w:rsidRDefault="00FF5E4C" w:rsidP="007F3A91">
      <w:pPr>
        <w:pStyle w:val="NoSpacing"/>
        <w:jc w:val="both"/>
        <w:rPr>
          <w:rFonts w:cs="Calibri"/>
          <w:color w:val="000000"/>
          <w:sz w:val="20"/>
          <w:szCs w:val="20"/>
        </w:rPr>
      </w:pPr>
      <w:r w:rsidRPr="007F3A91">
        <w:rPr>
          <w:rFonts w:cs="Calibri"/>
          <w:color w:val="000000"/>
          <w:sz w:val="20"/>
          <w:szCs w:val="20"/>
        </w:rPr>
        <w:t>The production cost modeling in the TEPPC study assumes that any existing transmission capacity is available to transfer the most economical resources regardless of transmission rights.</w:t>
      </w:r>
    </w:p>
    <w:p w:rsidR="00FF5E4C" w:rsidRDefault="00FF5E4C" w:rsidP="007F3A91">
      <w:pPr>
        <w:pStyle w:val="NoSpacing"/>
        <w:jc w:val="both"/>
        <w:rPr>
          <w:rFonts w:cs="Calibri"/>
          <w:color w:val="000000"/>
          <w:sz w:val="20"/>
          <w:szCs w:val="20"/>
        </w:rPr>
      </w:pPr>
      <w:r w:rsidRPr="007F3A91">
        <w:rPr>
          <w:rFonts w:cs="Calibri"/>
          <w:color w:val="000000"/>
          <w:sz w:val="20"/>
          <w:szCs w:val="20"/>
        </w:rPr>
        <w:t>Cost estimates for generation and transmission use simplified generic estimates that may not cover all required project costs.</w:t>
      </w:r>
    </w:p>
    <w:p w:rsidR="00FF5E4C" w:rsidRPr="007F3A91" w:rsidRDefault="00FF5E4C" w:rsidP="007F3A91">
      <w:pPr>
        <w:pStyle w:val="NoSpacing"/>
        <w:jc w:val="both"/>
        <w:rPr>
          <w:rFonts w:cs="Calibri"/>
          <w:color w:val="000000"/>
          <w:sz w:val="20"/>
          <w:szCs w:val="20"/>
        </w:rPr>
      </w:pP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Transmission projects were not optimized to the resource additions.  A typical 1500 MW project was added in each case with more than 1500 MW of resources added.  Additional transmission will probably be required to provide firm transmission rights for all new generation.</w:t>
      </w:r>
    </w:p>
    <w:p w:rsidR="00FF5E4C" w:rsidRPr="007F3A91" w:rsidRDefault="00FF5E4C" w:rsidP="007F3A91">
      <w:pPr>
        <w:pStyle w:val="NoSpacing"/>
        <w:jc w:val="both"/>
        <w:rPr>
          <w:rFonts w:cs="Calibri"/>
          <w:color w:val="000000"/>
          <w:sz w:val="20"/>
          <w:szCs w:val="20"/>
        </w:rPr>
      </w:pPr>
    </w:p>
    <w:p w:rsidR="00FF5E4C" w:rsidRPr="00E26FE8" w:rsidRDefault="00FF5E4C" w:rsidP="007F3A91">
      <w:pPr>
        <w:pStyle w:val="NoSpacing"/>
        <w:jc w:val="both"/>
        <w:rPr>
          <w:rFonts w:cs="Calibri"/>
          <w:b/>
          <w:color w:val="000000"/>
          <w:sz w:val="20"/>
          <w:szCs w:val="20"/>
          <w:u w:val="single"/>
        </w:rPr>
      </w:pPr>
      <w:r w:rsidRPr="00E26FE8">
        <w:rPr>
          <w:rFonts w:cs="Calibri"/>
          <w:b/>
          <w:color w:val="000000"/>
          <w:sz w:val="20"/>
          <w:szCs w:val="20"/>
          <w:u w:val="single"/>
        </w:rPr>
        <w:t>Conclusions</w:t>
      </w:r>
    </w:p>
    <w:p w:rsidR="00FF5E4C" w:rsidRPr="007F3A91" w:rsidRDefault="00FF5E4C" w:rsidP="007F3A91">
      <w:pPr>
        <w:pStyle w:val="NoSpacing"/>
        <w:jc w:val="both"/>
        <w:rPr>
          <w:rFonts w:cs="Calibri"/>
          <w:color w:val="000000"/>
          <w:sz w:val="20"/>
          <w:szCs w:val="20"/>
        </w:rPr>
      </w:pPr>
      <w:r w:rsidRPr="007F3A91">
        <w:rPr>
          <w:rFonts w:cs="Calibri"/>
          <w:color w:val="000000"/>
          <w:sz w:val="20"/>
          <w:szCs w:val="20"/>
        </w:rPr>
        <w:t>This study concludes that the reduced resource capital cost and production cost savings would justify the long distance transmission from Montana and Wyoming to the northwest although there are several assumptions and uncertainties in the study which could change the conclusion.  The Alberta/British Columbia studies are inconclusive due to modeling problems.</w:t>
      </w:r>
    </w:p>
    <w:p w:rsidR="00FF5E4C" w:rsidRPr="004777ED" w:rsidRDefault="00FF5E4C" w:rsidP="007F3A91">
      <w:pPr>
        <w:pStyle w:val="NoSpacing"/>
        <w:jc w:val="both"/>
        <w:rPr>
          <w:rFonts w:cs="Calibri"/>
          <w:color w:val="000000"/>
          <w:sz w:val="20"/>
          <w:szCs w:val="20"/>
        </w:rPr>
      </w:pPr>
    </w:p>
    <w:p w:rsidR="00FF5E4C" w:rsidRPr="004777ED" w:rsidRDefault="00FF5E4C" w:rsidP="007F3A91">
      <w:pPr>
        <w:pStyle w:val="NoSpacing"/>
        <w:jc w:val="both"/>
        <w:rPr>
          <w:rFonts w:cs="Calibri"/>
          <w:b/>
          <w:color w:val="000000"/>
          <w:sz w:val="20"/>
          <w:szCs w:val="20"/>
          <w:u w:val="single"/>
        </w:rPr>
      </w:pPr>
      <w:r w:rsidRPr="004777ED">
        <w:rPr>
          <w:rFonts w:cs="Calibri"/>
          <w:b/>
          <w:color w:val="000000"/>
          <w:sz w:val="20"/>
          <w:szCs w:val="20"/>
          <w:u w:val="single"/>
        </w:rPr>
        <w:t>Future Work</w:t>
      </w:r>
    </w:p>
    <w:p w:rsidR="00FF5E4C" w:rsidRPr="004777ED" w:rsidRDefault="00FF5E4C" w:rsidP="00097CBA">
      <w:pPr>
        <w:pStyle w:val="NoSpacing"/>
        <w:numPr>
          <w:ilvl w:val="0"/>
          <w:numId w:val="4"/>
        </w:numPr>
        <w:rPr>
          <w:sz w:val="20"/>
          <w:szCs w:val="20"/>
        </w:rPr>
      </w:pPr>
      <w:r w:rsidRPr="004777ED">
        <w:rPr>
          <w:sz w:val="20"/>
          <w:szCs w:val="20"/>
        </w:rPr>
        <w:t>Updated capacity factor information is needed to make valid comparisons between areas.</w:t>
      </w:r>
    </w:p>
    <w:p w:rsidR="00FF5E4C" w:rsidRPr="004777ED" w:rsidRDefault="00FF5E4C" w:rsidP="00097CBA">
      <w:pPr>
        <w:pStyle w:val="NoSpacing"/>
        <w:numPr>
          <w:ilvl w:val="0"/>
          <w:numId w:val="4"/>
        </w:numPr>
        <w:rPr>
          <w:sz w:val="20"/>
          <w:szCs w:val="20"/>
        </w:rPr>
      </w:pPr>
      <w:r w:rsidRPr="004777ED">
        <w:rPr>
          <w:sz w:val="20"/>
          <w:szCs w:val="20"/>
        </w:rPr>
        <w:t>More rigorous cost estimates would be needed before a decision to build can be made.</w:t>
      </w:r>
    </w:p>
    <w:p w:rsidR="00FF5E4C" w:rsidRPr="004777ED" w:rsidRDefault="00FF5E4C" w:rsidP="00097CBA">
      <w:pPr>
        <w:pStyle w:val="NoSpacing"/>
        <w:numPr>
          <w:ilvl w:val="0"/>
          <w:numId w:val="4"/>
        </w:numPr>
        <w:rPr>
          <w:sz w:val="20"/>
          <w:szCs w:val="20"/>
        </w:rPr>
      </w:pPr>
      <w:r w:rsidRPr="004777ED">
        <w:rPr>
          <w:sz w:val="20"/>
          <w:szCs w:val="20"/>
        </w:rPr>
        <w:t xml:space="preserve">The Alberta and British Columbia modeling issues need to be resolved to get more accurate production cost savings of adding wind in these regions (TEPPC is currently working on this issue).  </w:t>
      </w:r>
    </w:p>
    <w:p w:rsidR="00FF5E4C" w:rsidRPr="007F3A91" w:rsidRDefault="00FF5E4C" w:rsidP="00466B35">
      <w:pPr>
        <w:pStyle w:val="NoSpacing"/>
        <w:rPr>
          <w:rFonts w:cs="Calibri"/>
          <w:color w:val="000000"/>
          <w:sz w:val="20"/>
          <w:szCs w:val="20"/>
        </w:rPr>
      </w:pPr>
    </w:p>
    <w:p w:rsidR="00FF5E4C" w:rsidRPr="007F3A91" w:rsidRDefault="00FF5E4C">
      <w:pPr>
        <w:spacing w:after="0" w:line="240" w:lineRule="auto"/>
        <w:rPr>
          <w:rFonts w:cs="Calibri"/>
          <w:color w:val="000000"/>
          <w:sz w:val="20"/>
          <w:szCs w:val="20"/>
        </w:rPr>
      </w:pPr>
      <w:r w:rsidRPr="007F3A91">
        <w:rPr>
          <w:rFonts w:cs="Calibri"/>
          <w:color w:val="000000"/>
          <w:sz w:val="20"/>
          <w:szCs w:val="20"/>
        </w:rPr>
        <w:br w:type="page"/>
      </w:r>
    </w:p>
    <w:p w:rsidR="00FF5E4C" w:rsidRPr="007F3A91" w:rsidRDefault="00FF5E4C" w:rsidP="00DE737F">
      <w:pPr>
        <w:pStyle w:val="Heading2"/>
        <w:rPr>
          <w:rFonts w:ascii="Calibri" w:hAnsi="Calibri" w:cs="Calibri"/>
          <w:color w:val="000000"/>
          <w:sz w:val="20"/>
          <w:szCs w:val="20"/>
        </w:rPr>
      </w:pPr>
      <w:bookmarkStart w:id="13" w:name="_Toc260752704"/>
      <w:r w:rsidRPr="007F3A91">
        <w:rPr>
          <w:rFonts w:ascii="Calibri" w:hAnsi="Calibri" w:cs="Calibri"/>
          <w:color w:val="000000"/>
          <w:sz w:val="20"/>
          <w:szCs w:val="20"/>
        </w:rPr>
        <w:t>High Level Summary of NREL WWSIS</w:t>
      </w:r>
      <w:bookmarkEnd w:id="13"/>
    </w:p>
    <w:p w:rsidR="00FF5E4C" w:rsidRPr="007F3A91" w:rsidRDefault="00FF5E4C" w:rsidP="00C452BB">
      <w:pPr>
        <w:pStyle w:val="NoSpacing"/>
        <w:rPr>
          <w:rFonts w:cs="Calibri"/>
          <w:color w:val="000000"/>
          <w:sz w:val="20"/>
          <w:szCs w:val="20"/>
        </w:rPr>
      </w:pPr>
    </w:p>
    <w:p w:rsidR="00FF5E4C" w:rsidRDefault="00FF5E4C" w:rsidP="00097CBA">
      <w:pPr>
        <w:pStyle w:val="NoSpacing"/>
        <w:jc w:val="both"/>
        <w:rPr>
          <w:rFonts w:cs="Calibri"/>
          <w:color w:val="000000"/>
          <w:sz w:val="20"/>
          <w:szCs w:val="20"/>
        </w:rPr>
      </w:pPr>
      <w:r w:rsidRPr="007F3A91">
        <w:rPr>
          <w:rFonts w:cs="Calibri"/>
          <w:color w:val="000000"/>
          <w:sz w:val="20"/>
          <w:szCs w:val="20"/>
        </w:rPr>
        <w:t>While the study was based on resources and loads in the WestConnect footprint of Arizona, Nevada, New Mexico, Utah, Colorado, and Wyoming, some conclusions may be relevant to the WIST local versus remote wind benefit analysis. The WWIS study investigated the benefits of integrating wind and solar resources based on three different locational resource scenarios: In-Area, Local Priority, and Mega Project. The local area scenario assumed wind and solar resources built in each state of the West Connect footprint. The mega project scenario assumed the best resources were developed across the entire footprint. The local priority scenario reached for the middle ground by assuming a 10% capital cost advantage for local resources. The results showed similar overall performance and economics for three penetration levels (10, 20, and 30 % respectively), provided adequate transmission and control area cooperation.  While monthly vari</w:t>
      </w:r>
      <w:r>
        <w:rPr>
          <w:rFonts w:cs="Calibri"/>
          <w:color w:val="000000"/>
          <w:sz w:val="20"/>
          <w:szCs w:val="20"/>
        </w:rPr>
        <w:t>ation in renewable energy ranged</w:t>
      </w:r>
      <w:r w:rsidRPr="007F3A91">
        <w:rPr>
          <w:rFonts w:cs="Calibri"/>
          <w:color w:val="000000"/>
          <w:sz w:val="20"/>
          <w:szCs w:val="20"/>
        </w:rPr>
        <w:t xml:space="preserve"> from as high as 60% in the winter to as low as 14% in the summer, there was little variation at the footprint level across the months. </w:t>
      </w:r>
    </w:p>
    <w:p w:rsidR="00FF5E4C" w:rsidRDefault="00FF5E4C" w:rsidP="00097CBA">
      <w:pPr>
        <w:pStyle w:val="NoSpacing"/>
        <w:jc w:val="both"/>
        <w:rPr>
          <w:rFonts w:cs="Calibri"/>
          <w:color w:val="000000"/>
          <w:sz w:val="20"/>
          <w:szCs w:val="20"/>
        </w:rPr>
      </w:pPr>
    </w:p>
    <w:p w:rsidR="00FF5E4C" w:rsidRPr="004D62CF" w:rsidRDefault="00FF5E4C" w:rsidP="004D62CF">
      <w:pPr>
        <w:pStyle w:val="NoSpacing"/>
        <w:rPr>
          <w:rFonts w:cs="Calibri"/>
          <w:b/>
          <w:color w:val="000000"/>
          <w:sz w:val="20"/>
          <w:szCs w:val="20"/>
        </w:rPr>
      </w:pPr>
      <w:r w:rsidRPr="004D62CF">
        <w:rPr>
          <w:rFonts w:cs="Calibri"/>
          <w:b/>
          <w:color w:val="000000"/>
          <w:sz w:val="20"/>
          <w:szCs w:val="20"/>
        </w:rPr>
        <w:t xml:space="preserve">Figure H-1: 2006 Percent Footprint Monthly Energy from Wind and Solar for all Scenarios </w:t>
      </w:r>
    </w:p>
    <w:p w:rsidR="00FF5E4C" w:rsidRPr="004D62CF" w:rsidRDefault="00FF5E4C" w:rsidP="004D62CF">
      <w:pPr>
        <w:pStyle w:val="NoSpacing"/>
        <w:rPr>
          <w:rFonts w:cs="Calibri"/>
          <w:b/>
          <w:color w:val="000000"/>
          <w:sz w:val="20"/>
          <w:szCs w:val="20"/>
        </w:rPr>
      </w:pPr>
      <w:r w:rsidRPr="004D62CF">
        <w:rPr>
          <w:rFonts w:cs="Calibri"/>
          <w:b/>
          <w:color w:val="000000"/>
          <w:sz w:val="20"/>
          <w:szCs w:val="20"/>
        </w:rPr>
        <w:t>(30% Penetration)</w:t>
      </w:r>
    </w:p>
    <w:p w:rsidR="00FF5E4C" w:rsidRPr="009F3361" w:rsidRDefault="00FF5E4C" w:rsidP="00C452BB">
      <w:pPr>
        <w:pStyle w:val="NoSpacing"/>
        <w:rPr>
          <w:rFonts w:cs="Calibri"/>
          <w:color w:val="000000"/>
        </w:rPr>
      </w:pPr>
      <w:r w:rsidRPr="0007596D">
        <w:rPr>
          <w:rFonts w:cs="Calibri"/>
          <w:noProof/>
          <w:color w:val="000000"/>
        </w:rPr>
        <w:pict>
          <v:shape id="_x0000_i1063" type="#_x0000_t75" alt="scan0001" style="width:332.25pt;height:189.75pt;visibility:visible">
            <v:imagedata r:id="rId61" o:title=""/>
          </v:shape>
        </w:pict>
      </w:r>
    </w:p>
    <w:p w:rsidR="00FF5E4C" w:rsidRDefault="00FF5E4C" w:rsidP="00C452BB">
      <w:pPr>
        <w:pStyle w:val="NoSpacing"/>
        <w:rPr>
          <w:rFonts w:cs="Calibri"/>
          <w:color w:val="000000"/>
        </w:rPr>
      </w:pPr>
    </w:p>
    <w:p w:rsidR="00FF5E4C" w:rsidRPr="004D62CF" w:rsidRDefault="00FF5E4C" w:rsidP="004D62CF">
      <w:pPr>
        <w:pStyle w:val="NoSpacing"/>
        <w:rPr>
          <w:rFonts w:cs="Calibri"/>
          <w:b/>
          <w:color w:val="000000"/>
          <w:sz w:val="20"/>
          <w:szCs w:val="20"/>
        </w:rPr>
      </w:pPr>
      <w:r w:rsidRPr="004D62CF">
        <w:rPr>
          <w:rFonts w:cs="Calibri"/>
          <w:b/>
          <w:color w:val="000000"/>
          <w:sz w:val="20"/>
          <w:szCs w:val="20"/>
        </w:rPr>
        <w:t>Figure H-2: Study Footprint 2006 Net Load Duration for all Scenarios (30% Penetration)</w:t>
      </w:r>
    </w:p>
    <w:p w:rsidR="00FF5E4C" w:rsidRPr="009F3361" w:rsidRDefault="00FF5E4C" w:rsidP="00C452BB">
      <w:pPr>
        <w:pStyle w:val="NoSpacing"/>
        <w:rPr>
          <w:rFonts w:cs="Calibri"/>
          <w:color w:val="000000"/>
        </w:rPr>
      </w:pPr>
      <w:r w:rsidRPr="0007596D">
        <w:rPr>
          <w:rFonts w:cs="Calibri"/>
          <w:noProof/>
          <w:color w:val="000000"/>
        </w:rPr>
        <w:pict>
          <v:shape id="_x0000_i1064" type="#_x0000_t75" alt="scan0002" style="width:339pt;height:199.5pt;visibility:visible">
            <v:imagedata r:id="rId62" o:title=""/>
          </v:shape>
        </w:pict>
      </w:r>
    </w:p>
    <w:p w:rsidR="00FF5E4C" w:rsidRDefault="00FF5E4C" w:rsidP="00097CBA">
      <w:pPr>
        <w:pStyle w:val="NoSpacing"/>
        <w:jc w:val="both"/>
        <w:rPr>
          <w:rFonts w:cs="Calibri"/>
          <w:color w:val="000000"/>
          <w:sz w:val="20"/>
          <w:szCs w:val="20"/>
        </w:rPr>
      </w:pPr>
      <w:r w:rsidRPr="00097CBA">
        <w:rPr>
          <w:rFonts w:cs="Calibri"/>
          <w:color w:val="000000"/>
          <w:sz w:val="20"/>
          <w:szCs w:val="20"/>
        </w:rPr>
        <w:t>A comparison of total WECC operating cost savings per MWh of renewable energy for the different cases show a slight increase in value as the wind plant locations are shifted to higher capacity factor sites in the local priority and mega project scenarios, but the differences are small given the assumption that adequate transmission exists in all three scenarios.</w:t>
      </w:r>
    </w:p>
    <w:p w:rsidR="00FF5E4C" w:rsidRDefault="00FF5E4C" w:rsidP="00097CBA">
      <w:pPr>
        <w:pStyle w:val="NoSpacing"/>
        <w:jc w:val="both"/>
        <w:rPr>
          <w:rFonts w:cs="Calibri"/>
          <w:color w:val="000000"/>
          <w:sz w:val="20"/>
          <w:szCs w:val="20"/>
        </w:rPr>
      </w:pPr>
    </w:p>
    <w:p w:rsidR="00FF5E4C" w:rsidRPr="00097CBA" w:rsidRDefault="00FF5E4C" w:rsidP="004D62CF">
      <w:pPr>
        <w:pStyle w:val="NoSpacing"/>
        <w:rPr>
          <w:rFonts w:cs="Calibri"/>
          <w:b/>
          <w:color w:val="000000"/>
          <w:sz w:val="20"/>
          <w:szCs w:val="20"/>
        </w:rPr>
      </w:pPr>
      <w:r w:rsidRPr="00097CBA">
        <w:rPr>
          <w:rFonts w:cs="Calibri"/>
          <w:b/>
          <w:color w:val="000000"/>
          <w:sz w:val="20"/>
          <w:szCs w:val="20"/>
        </w:rPr>
        <w:t xml:space="preserve">Figure </w:t>
      </w:r>
      <w:r>
        <w:rPr>
          <w:rFonts w:cs="Calibri"/>
          <w:b/>
          <w:color w:val="000000"/>
          <w:sz w:val="20"/>
          <w:szCs w:val="20"/>
        </w:rPr>
        <w:t>H-</w:t>
      </w:r>
      <w:r w:rsidRPr="00097CBA">
        <w:rPr>
          <w:rFonts w:cs="Calibri"/>
          <w:b/>
          <w:color w:val="000000"/>
          <w:sz w:val="20"/>
          <w:szCs w:val="20"/>
        </w:rPr>
        <w:t>3: Operating Cost Savings per MWh of Renewable Energy, WECC</w:t>
      </w:r>
    </w:p>
    <w:p w:rsidR="00FF5E4C" w:rsidRPr="00097CBA" w:rsidRDefault="00FF5E4C" w:rsidP="00097CBA">
      <w:pPr>
        <w:pStyle w:val="NoSpacing"/>
        <w:jc w:val="both"/>
        <w:rPr>
          <w:rFonts w:cs="Calibri"/>
          <w:color w:val="000000"/>
          <w:sz w:val="20"/>
          <w:szCs w:val="20"/>
        </w:rPr>
      </w:pPr>
    </w:p>
    <w:p w:rsidR="00FF5E4C" w:rsidRPr="00097CBA" w:rsidRDefault="00FF5E4C" w:rsidP="00C452BB">
      <w:pPr>
        <w:pStyle w:val="NoSpacing"/>
        <w:rPr>
          <w:rFonts w:cs="Calibri"/>
          <w:color w:val="000000"/>
          <w:sz w:val="20"/>
          <w:szCs w:val="20"/>
        </w:rPr>
      </w:pPr>
      <w:r w:rsidRPr="0007596D">
        <w:rPr>
          <w:rFonts w:cs="Calibri"/>
          <w:noProof/>
          <w:color w:val="000000"/>
          <w:sz w:val="20"/>
          <w:szCs w:val="20"/>
        </w:rPr>
        <w:pict>
          <v:shape id="Picture 7" o:spid="_x0000_i1065" type="#_x0000_t75" alt="scan0003" style="width:365.25pt;height:191.25pt;visibility:visible">
            <v:imagedata r:id="rId63" o:title=""/>
          </v:shape>
        </w:pict>
      </w:r>
    </w:p>
    <w:p w:rsidR="00FF5E4C" w:rsidRPr="00097CBA" w:rsidRDefault="00FF5E4C" w:rsidP="00C452BB">
      <w:pPr>
        <w:pStyle w:val="NoSpacing"/>
        <w:rPr>
          <w:rFonts w:cs="Calibri"/>
          <w:b/>
          <w:color w:val="000000"/>
          <w:sz w:val="20"/>
          <w:szCs w:val="20"/>
        </w:rPr>
      </w:pPr>
    </w:p>
    <w:p w:rsidR="00FF5E4C" w:rsidRPr="00E26FE8" w:rsidRDefault="00FF5E4C" w:rsidP="00097CBA">
      <w:pPr>
        <w:pStyle w:val="NoSpacing"/>
        <w:jc w:val="both"/>
        <w:rPr>
          <w:rFonts w:cs="Calibri"/>
          <w:b/>
          <w:color w:val="000000"/>
          <w:sz w:val="20"/>
          <w:szCs w:val="20"/>
          <w:u w:val="single"/>
        </w:rPr>
      </w:pPr>
      <w:r w:rsidRPr="00E26FE8">
        <w:rPr>
          <w:rFonts w:cs="Calibri"/>
          <w:b/>
          <w:color w:val="000000"/>
          <w:sz w:val="20"/>
          <w:szCs w:val="20"/>
          <w:u w:val="single"/>
        </w:rPr>
        <w:t>Conclusions</w:t>
      </w:r>
    </w:p>
    <w:p w:rsidR="00FF5E4C" w:rsidRDefault="00FF5E4C" w:rsidP="004D62CF">
      <w:pPr>
        <w:pStyle w:val="NoSpacing"/>
        <w:jc w:val="both"/>
        <w:rPr>
          <w:rFonts w:cs="Calibri"/>
          <w:color w:val="000000"/>
          <w:sz w:val="20"/>
          <w:szCs w:val="20"/>
        </w:rPr>
      </w:pPr>
      <w:r w:rsidRPr="00097CBA">
        <w:rPr>
          <w:rFonts w:cs="Calibri"/>
          <w:color w:val="000000"/>
          <w:sz w:val="20"/>
          <w:szCs w:val="20"/>
        </w:rPr>
        <w:t xml:space="preserve">We can conclude that there may be some small cost savings (up to $1/MWh based on Figure </w:t>
      </w:r>
      <w:r>
        <w:rPr>
          <w:rFonts w:cs="Calibri"/>
          <w:color w:val="000000"/>
          <w:sz w:val="20"/>
          <w:szCs w:val="20"/>
        </w:rPr>
        <w:t>H-</w:t>
      </w:r>
      <w:r w:rsidRPr="00097CBA">
        <w:rPr>
          <w:rFonts w:cs="Calibri"/>
          <w:color w:val="000000"/>
          <w:sz w:val="20"/>
          <w:szCs w:val="20"/>
        </w:rPr>
        <w:t>3) with a WestConnect footprint distribution of wind resources compared to in-state or locally preferred selection of projects for the 20% and 30% wind and solar penetrations.  However, the absence of cost calculations for transmission additions in the WWSIS, which we assume to be greater for the more remote mega project scenario, negates a useful comparison with the WIST or TEPPC analyses. The only cost variable in the WestConnect study is the improved capacity factors in the mega and locally preferred project scenarios compared to exclusively  using in-state resources.</w:t>
      </w:r>
    </w:p>
    <w:p w:rsidR="00FF5E4C" w:rsidRPr="00C8683A" w:rsidRDefault="00FF5E4C" w:rsidP="00C8683A">
      <w:pPr>
        <w:pStyle w:val="NoSpacing"/>
        <w:jc w:val="both"/>
        <w:rPr>
          <w:rFonts w:cs="Calibri"/>
          <w:b/>
          <w:color w:val="000000"/>
          <w:sz w:val="20"/>
          <w:szCs w:val="20"/>
          <w:u w:val="single"/>
        </w:rPr>
      </w:pPr>
    </w:p>
    <w:p w:rsidR="00FF5E4C" w:rsidRPr="00C8683A" w:rsidRDefault="00FF5E4C" w:rsidP="00C8683A">
      <w:pPr>
        <w:pStyle w:val="NoSpacing"/>
        <w:jc w:val="both"/>
        <w:rPr>
          <w:rFonts w:cs="Calibri"/>
          <w:b/>
          <w:color w:val="000000"/>
          <w:sz w:val="20"/>
          <w:szCs w:val="20"/>
          <w:u w:val="single"/>
        </w:rPr>
      </w:pPr>
      <w:r w:rsidRPr="00C8683A">
        <w:rPr>
          <w:rFonts w:cs="Calibri"/>
          <w:b/>
          <w:color w:val="000000"/>
          <w:sz w:val="20"/>
          <w:szCs w:val="20"/>
          <w:u w:val="single"/>
        </w:rPr>
        <w:t>Further Work</w:t>
      </w:r>
    </w:p>
    <w:p w:rsidR="00FF5E4C" w:rsidRPr="0086583D" w:rsidRDefault="00FF5E4C" w:rsidP="004D62CF">
      <w:pPr>
        <w:pStyle w:val="NoSpacing"/>
        <w:rPr>
          <w:rFonts w:cs="Calibri"/>
          <w:color w:val="000000"/>
          <w:sz w:val="20"/>
          <w:szCs w:val="20"/>
        </w:rPr>
      </w:pPr>
      <w:r w:rsidRPr="0086583D">
        <w:rPr>
          <w:rFonts w:cs="Calibri"/>
          <w:color w:val="000000"/>
          <w:sz w:val="20"/>
          <w:szCs w:val="20"/>
        </w:rPr>
        <w:t>It may be useful to</w:t>
      </w:r>
      <w:r>
        <w:rPr>
          <w:rFonts w:cs="Calibri"/>
          <w:color w:val="000000"/>
          <w:sz w:val="20"/>
          <w:szCs w:val="20"/>
        </w:rPr>
        <w:t xml:space="preserve"> study wind and solar integration costs and benefits in the WIST study footprint using the NREL methodology with in-state, local preference, and mega project scenarios. There is some anecdotal evidence that northwestern solar installations would perform better at peak than northwestern wind resources and would add higher capacity values. A combination of solar and wind resources may therefore provide some complementary advantage. We also recognize higher capacity factors for Wyoming and Montana wind compared to Columbia Gorge wind. It might also be useful to include Alberta and British Columbia wind resources in such a study.  Transmission capital and operating costs should be determined and included for a better production cost estimate and comparison among the three scenarios. </w:t>
      </w:r>
    </w:p>
    <w:p w:rsidR="00FF5E4C" w:rsidRDefault="00FF5E4C">
      <w:pPr>
        <w:spacing w:after="0" w:line="240" w:lineRule="auto"/>
        <w:rPr>
          <w:rFonts w:cs="Calibri"/>
          <w:b/>
          <w:bCs/>
          <w:color w:val="000000"/>
          <w:sz w:val="20"/>
          <w:szCs w:val="20"/>
        </w:rPr>
      </w:pPr>
      <w:r>
        <w:rPr>
          <w:rFonts w:cs="Calibri"/>
          <w:color w:val="000000"/>
          <w:sz w:val="20"/>
          <w:szCs w:val="20"/>
        </w:rPr>
        <w:br w:type="page"/>
      </w:r>
    </w:p>
    <w:p w:rsidR="00FF5E4C" w:rsidRPr="00097CBA" w:rsidRDefault="00FF5E4C" w:rsidP="00DE737F">
      <w:pPr>
        <w:pStyle w:val="Heading2"/>
        <w:rPr>
          <w:rFonts w:ascii="Calibri" w:hAnsi="Calibri" w:cs="Calibri"/>
          <w:color w:val="000000"/>
          <w:sz w:val="20"/>
          <w:szCs w:val="20"/>
        </w:rPr>
      </w:pPr>
      <w:bookmarkStart w:id="14" w:name="_Toc260752705"/>
      <w:r w:rsidRPr="00097CBA">
        <w:rPr>
          <w:rFonts w:ascii="Calibri" w:hAnsi="Calibri" w:cs="Calibri"/>
          <w:color w:val="000000"/>
          <w:sz w:val="20"/>
          <w:szCs w:val="20"/>
        </w:rPr>
        <w:t>Comparison of NREL Data with Historical Data</w:t>
      </w:r>
      <w:bookmarkEnd w:id="14"/>
    </w:p>
    <w:p w:rsidR="00FF5E4C" w:rsidRPr="00097CBA" w:rsidRDefault="00FF5E4C" w:rsidP="00C452BB">
      <w:pPr>
        <w:pStyle w:val="NoSpacing"/>
        <w:rPr>
          <w:rFonts w:cs="Calibri"/>
          <w:color w:val="000000"/>
          <w:sz w:val="20"/>
          <w:szCs w:val="20"/>
        </w:rPr>
      </w:pPr>
    </w:p>
    <w:p w:rsidR="00FF5E4C" w:rsidRPr="00097CBA" w:rsidRDefault="00FF5E4C" w:rsidP="00097CBA">
      <w:pPr>
        <w:pStyle w:val="NoSpacing"/>
        <w:jc w:val="both"/>
        <w:rPr>
          <w:rFonts w:cs="Calibri"/>
          <w:color w:val="000000"/>
          <w:sz w:val="20"/>
          <w:szCs w:val="20"/>
        </w:rPr>
      </w:pPr>
      <w:r w:rsidRPr="00097CBA">
        <w:rPr>
          <w:rFonts w:cs="Calibri"/>
          <w:color w:val="000000"/>
          <w:sz w:val="20"/>
          <w:szCs w:val="20"/>
        </w:rPr>
        <w:t xml:space="preserve">Different studies have drawn different conclusions about the relative value of local vs. imported wind generation in meeting NW loads.  Some of the difference could be explained by the different data relied upon in the studies, in particular, whether actual historical data or the synthetic data in the NREL data base were used.  This section focuses on comparing NREL data for wind sites in the eastern Columbia River gorge area with historical data from sites in the Bonneville BA in the same area.  A limited comparison is made to Montana data, due to lack of comparable data.  </w:t>
      </w:r>
    </w:p>
    <w:p w:rsidR="00FF5E4C" w:rsidRPr="00097CBA" w:rsidRDefault="00FF5E4C" w:rsidP="00097CBA">
      <w:pPr>
        <w:pStyle w:val="NoSpacing"/>
        <w:jc w:val="both"/>
        <w:rPr>
          <w:rFonts w:cs="Calibri"/>
          <w:color w:val="000000"/>
          <w:sz w:val="20"/>
          <w:szCs w:val="20"/>
        </w:rPr>
      </w:pPr>
    </w:p>
    <w:p w:rsidR="00FF5E4C" w:rsidRPr="00097CBA" w:rsidRDefault="00FF5E4C" w:rsidP="00097CBA">
      <w:pPr>
        <w:pStyle w:val="NoSpacing"/>
        <w:jc w:val="both"/>
        <w:rPr>
          <w:rFonts w:cs="Calibri"/>
          <w:color w:val="000000"/>
          <w:sz w:val="20"/>
          <w:szCs w:val="20"/>
        </w:rPr>
      </w:pPr>
      <w:r w:rsidRPr="00097CBA">
        <w:rPr>
          <w:rFonts w:cs="Calibri"/>
          <w:color w:val="000000"/>
          <w:sz w:val="20"/>
          <w:szCs w:val="20"/>
        </w:rPr>
        <w:t>The comparison to BPA data is not exact, since the NREL data that were used are the hourly average values for individual 2 km by 2 km locations as aggregated into larger geographic areas by the WECC staff,</w:t>
      </w:r>
      <w:r w:rsidRPr="00097CBA">
        <w:rPr>
          <w:rStyle w:val="FootnoteReference"/>
          <w:rFonts w:cs="Calibri"/>
          <w:color w:val="000000"/>
          <w:sz w:val="20"/>
          <w:szCs w:val="20"/>
        </w:rPr>
        <w:footnoteReference w:id="4"/>
      </w:r>
      <w:r w:rsidRPr="00097CBA">
        <w:rPr>
          <w:rFonts w:cs="Calibri"/>
          <w:color w:val="000000"/>
          <w:sz w:val="20"/>
          <w:szCs w:val="20"/>
        </w:rPr>
        <w:t xml:space="preserve"> while the BPA data are from specific wind farms in corresponding general areas.  The NREL sites are shown on the maps </w:t>
      </w:r>
      <w:r>
        <w:rPr>
          <w:rFonts w:cs="Calibri"/>
          <w:color w:val="000000"/>
          <w:sz w:val="20"/>
          <w:szCs w:val="20"/>
        </w:rPr>
        <w:t>in Figure B-1 in Section B.</w:t>
      </w:r>
      <w:r w:rsidRPr="00097CBA">
        <w:rPr>
          <w:rFonts w:cs="Calibri"/>
          <w:color w:val="000000"/>
          <w:sz w:val="20"/>
          <w:szCs w:val="20"/>
        </w:rPr>
        <w:t xml:space="preserve"> </w:t>
      </w:r>
      <w:r w:rsidRPr="00097CBA">
        <w:rPr>
          <w:rFonts w:cs="Calibri"/>
          <w:color w:val="000000"/>
          <w:sz w:val="20"/>
          <w:szCs w:val="20"/>
        </w:rPr>
        <w:softHyphen/>
      </w:r>
      <w:r w:rsidRPr="00097CBA">
        <w:rPr>
          <w:rFonts w:cs="Calibri"/>
          <w:color w:val="000000"/>
          <w:sz w:val="20"/>
          <w:szCs w:val="20"/>
        </w:rPr>
        <w:softHyphen/>
      </w:r>
      <w:r w:rsidRPr="00097CBA">
        <w:rPr>
          <w:rFonts w:cs="Calibri"/>
          <w:color w:val="000000"/>
          <w:sz w:val="20"/>
          <w:szCs w:val="20"/>
        </w:rPr>
        <w:softHyphen/>
      </w:r>
      <w:r w:rsidRPr="00097CBA">
        <w:rPr>
          <w:rFonts w:cs="Calibri"/>
          <w:color w:val="000000"/>
          <w:sz w:val="20"/>
          <w:szCs w:val="20"/>
        </w:rPr>
        <w:softHyphen/>
      </w:r>
      <w:r w:rsidRPr="00097CBA">
        <w:rPr>
          <w:rFonts w:cs="Calibri"/>
          <w:color w:val="000000"/>
          <w:sz w:val="20"/>
          <w:szCs w:val="20"/>
        </w:rPr>
        <w:softHyphen/>
      </w:r>
      <w:r w:rsidRPr="00097CBA">
        <w:rPr>
          <w:rFonts w:cs="Calibri"/>
          <w:color w:val="000000"/>
          <w:sz w:val="20"/>
          <w:szCs w:val="20"/>
        </w:rPr>
        <w:softHyphen/>
      </w:r>
      <w:r w:rsidRPr="00097CBA">
        <w:rPr>
          <w:rFonts w:cs="Calibri"/>
          <w:color w:val="000000"/>
          <w:sz w:val="20"/>
          <w:szCs w:val="20"/>
        </w:rPr>
        <w:softHyphen/>
        <w:t xml:space="preserve">Two comparisons are made:  average annual capacity factors and capacity factors for a specific extreme heat event, July 24, 2006.  </w:t>
      </w:r>
    </w:p>
    <w:p w:rsidR="00FF5E4C" w:rsidRPr="00097CBA" w:rsidRDefault="00FF5E4C" w:rsidP="00097CBA">
      <w:pPr>
        <w:pStyle w:val="NoSpacing"/>
        <w:jc w:val="both"/>
        <w:rPr>
          <w:rFonts w:cs="Calibri"/>
          <w:color w:val="000000"/>
          <w:sz w:val="20"/>
          <w:szCs w:val="20"/>
        </w:rPr>
      </w:pPr>
    </w:p>
    <w:p w:rsidR="00FF5E4C" w:rsidRPr="00097CBA" w:rsidRDefault="00FF5E4C" w:rsidP="00097CBA">
      <w:pPr>
        <w:pStyle w:val="NoSpacing"/>
        <w:jc w:val="both"/>
        <w:rPr>
          <w:rFonts w:cs="Calibri"/>
          <w:color w:val="000000"/>
          <w:sz w:val="20"/>
          <w:szCs w:val="20"/>
        </w:rPr>
      </w:pPr>
      <w:r w:rsidRPr="00097CBA">
        <w:rPr>
          <w:rFonts w:cs="Calibri"/>
          <w:color w:val="000000"/>
          <w:sz w:val="20"/>
          <w:szCs w:val="20"/>
        </w:rPr>
        <w:t xml:space="preserve">The following figures compare the monthly and annual capacity factors (output as a percentage of installed capacity) between wind generation in Bonneville’s BA and corresponding wind areas in the NREL data base.  Figure </w:t>
      </w:r>
      <w:r>
        <w:rPr>
          <w:rFonts w:cs="Calibri"/>
          <w:color w:val="000000"/>
          <w:sz w:val="20"/>
          <w:szCs w:val="20"/>
        </w:rPr>
        <w:t>I-</w:t>
      </w:r>
      <w:r w:rsidRPr="00097CBA">
        <w:rPr>
          <w:rFonts w:cs="Calibri"/>
          <w:color w:val="000000"/>
          <w:sz w:val="20"/>
          <w:szCs w:val="20"/>
        </w:rPr>
        <w:t>1 shows the average monthly, average annual and 3-year average capacity factors for wind generation in Bonneville’s BA from Bonneville’s historic data and shows the variation within just three years of historical data.</w:t>
      </w:r>
    </w:p>
    <w:p w:rsidR="00FF5E4C" w:rsidRPr="00097CBA" w:rsidRDefault="00FF5E4C" w:rsidP="00C452BB">
      <w:pPr>
        <w:pStyle w:val="NoSpacing"/>
        <w:rPr>
          <w:rFonts w:cs="Calibri"/>
          <w:color w:val="000000"/>
          <w:sz w:val="20"/>
          <w:szCs w:val="20"/>
        </w:rPr>
      </w:pPr>
    </w:p>
    <w:p w:rsidR="00FF5E4C" w:rsidRPr="00097CBA" w:rsidRDefault="00FF5E4C" w:rsidP="00C452BB">
      <w:pPr>
        <w:pStyle w:val="NoSpacing"/>
        <w:rPr>
          <w:rFonts w:cs="Calibri"/>
          <w:b/>
          <w:color w:val="000000"/>
          <w:sz w:val="20"/>
          <w:szCs w:val="20"/>
        </w:rPr>
      </w:pPr>
      <w:r w:rsidRPr="00097CBA">
        <w:rPr>
          <w:rFonts w:cs="Calibri"/>
          <w:b/>
          <w:color w:val="000000"/>
          <w:sz w:val="20"/>
          <w:szCs w:val="20"/>
        </w:rPr>
        <w:t xml:space="preserve">Figure </w:t>
      </w:r>
      <w:r>
        <w:rPr>
          <w:rFonts w:cs="Calibri"/>
          <w:b/>
          <w:color w:val="000000"/>
          <w:sz w:val="20"/>
          <w:szCs w:val="20"/>
        </w:rPr>
        <w:t>I-</w:t>
      </w:r>
      <w:r w:rsidRPr="00097CBA">
        <w:rPr>
          <w:rFonts w:cs="Calibri"/>
          <w:b/>
          <w:color w:val="000000"/>
          <w:sz w:val="20"/>
          <w:szCs w:val="20"/>
        </w:rPr>
        <w:t>1</w:t>
      </w:r>
    </w:p>
    <w:p w:rsidR="00FF5E4C" w:rsidRPr="00097CBA" w:rsidRDefault="00FF5E4C" w:rsidP="00C452BB">
      <w:pPr>
        <w:pStyle w:val="NoSpacing"/>
        <w:rPr>
          <w:rFonts w:cs="Calibri"/>
          <w:color w:val="000000"/>
          <w:sz w:val="20"/>
          <w:szCs w:val="20"/>
        </w:rPr>
      </w:pPr>
    </w:p>
    <w:p w:rsidR="00FF5E4C" w:rsidRPr="00097CBA" w:rsidRDefault="00FF5E4C" w:rsidP="00C452BB">
      <w:pPr>
        <w:pStyle w:val="NoSpacing"/>
        <w:rPr>
          <w:rFonts w:cs="Calibri"/>
          <w:color w:val="000000"/>
          <w:sz w:val="20"/>
          <w:szCs w:val="20"/>
        </w:rPr>
      </w:pPr>
      <w:r w:rsidRPr="0007596D">
        <w:rPr>
          <w:rFonts w:cs="Calibri"/>
          <w:noProof/>
          <w:color w:val="000000"/>
          <w:sz w:val="20"/>
          <w:szCs w:val="20"/>
        </w:rPr>
        <w:pict>
          <v:shape id="_x0000_i1066" type="#_x0000_t75" style="width:283.5pt;height:229.5pt;visibility:visible">
            <v:imagedata r:id="rId64" o:title=""/>
          </v:shape>
        </w:pict>
      </w:r>
    </w:p>
    <w:p w:rsidR="00FF5E4C" w:rsidRDefault="00FF5E4C" w:rsidP="00C452BB">
      <w:pPr>
        <w:pStyle w:val="NoSpacing"/>
        <w:rPr>
          <w:rFonts w:cs="Calibri"/>
          <w:color w:val="000000"/>
          <w:sz w:val="20"/>
          <w:szCs w:val="20"/>
        </w:rPr>
      </w:pPr>
    </w:p>
    <w:p w:rsidR="00FF5E4C" w:rsidRPr="00097CBA" w:rsidRDefault="00FF5E4C" w:rsidP="00097CBA">
      <w:pPr>
        <w:pStyle w:val="NoSpacing"/>
        <w:jc w:val="both"/>
        <w:rPr>
          <w:rFonts w:cs="Calibri"/>
          <w:color w:val="000000"/>
          <w:sz w:val="20"/>
          <w:szCs w:val="20"/>
        </w:rPr>
      </w:pPr>
      <w:r w:rsidRPr="00097CBA">
        <w:rPr>
          <w:rFonts w:cs="Calibri"/>
          <w:color w:val="000000"/>
          <w:sz w:val="20"/>
          <w:szCs w:val="20"/>
        </w:rPr>
        <w:t xml:space="preserve">Figure </w:t>
      </w:r>
      <w:r>
        <w:rPr>
          <w:rFonts w:cs="Calibri"/>
          <w:color w:val="000000"/>
          <w:sz w:val="20"/>
          <w:szCs w:val="20"/>
        </w:rPr>
        <w:t>I-</w:t>
      </w:r>
      <w:r w:rsidRPr="00097CBA">
        <w:rPr>
          <w:rFonts w:cs="Calibri"/>
          <w:color w:val="000000"/>
          <w:sz w:val="20"/>
          <w:szCs w:val="20"/>
        </w:rPr>
        <w:t xml:space="preserve">2 shows the same Bonneville BA annual average capacity factors in the far right set of columns and compares them to the three (different) years in the NREL data base for four aggregations that correspond roughly to the locations of the wind generation in Bonneville’s BA.  </w:t>
      </w:r>
    </w:p>
    <w:p w:rsidR="00FF5E4C" w:rsidRPr="00097CBA" w:rsidRDefault="00FF5E4C" w:rsidP="00097CBA">
      <w:pPr>
        <w:pStyle w:val="NoSpacing"/>
        <w:jc w:val="both"/>
        <w:rPr>
          <w:rFonts w:cs="Calibri"/>
          <w:b/>
          <w:color w:val="000000"/>
          <w:sz w:val="20"/>
          <w:szCs w:val="20"/>
        </w:rPr>
      </w:pPr>
      <w:r w:rsidRPr="00097CBA">
        <w:rPr>
          <w:rFonts w:cs="Calibri"/>
          <w:b/>
          <w:color w:val="000000"/>
          <w:sz w:val="20"/>
          <w:szCs w:val="20"/>
        </w:rPr>
        <w:t xml:space="preserve">Figure </w:t>
      </w:r>
      <w:r>
        <w:rPr>
          <w:rFonts w:cs="Calibri"/>
          <w:b/>
          <w:color w:val="000000"/>
          <w:sz w:val="20"/>
          <w:szCs w:val="20"/>
        </w:rPr>
        <w:t>I-</w:t>
      </w:r>
      <w:r w:rsidRPr="00097CBA">
        <w:rPr>
          <w:rFonts w:cs="Calibri"/>
          <w:b/>
          <w:color w:val="000000"/>
          <w:sz w:val="20"/>
          <w:szCs w:val="20"/>
        </w:rPr>
        <w:t>2</w:t>
      </w:r>
    </w:p>
    <w:p w:rsidR="00FF5E4C" w:rsidRPr="00097CBA" w:rsidRDefault="00FF5E4C" w:rsidP="00C452BB">
      <w:pPr>
        <w:pStyle w:val="NoSpacing"/>
        <w:rPr>
          <w:rFonts w:cs="Calibri"/>
          <w:color w:val="000000"/>
          <w:sz w:val="20"/>
          <w:szCs w:val="20"/>
        </w:rPr>
      </w:pPr>
    </w:p>
    <w:p w:rsidR="00FF5E4C" w:rsidRPr="00097CBA" w:rsidRDefault="00FF5E4C" w:rsidP="00C452BB">
      <w:pPr>
        <w:pStyle w:val="NoSpacing"/>
        <w:rPr>
          <w:rFonts w:cs="Calibri"/>
          <w:color w:val="000000"/>
          <w:sz w:val="20"/>
          <w:szCs w:val="20"/>
        </w:rPr>
      </w:pPr>
      <w:r w:rsidRPr="0007596D">
        <w:rPr>
          <w:rFonts w:cs="Calibri"/>
          <w:noProof/>
          <w:color w:val="000000"/>
          <w:sz w:val="20"/>
          <w:szCs w:val="20"/>
        </w:rPr>
        <w:pict>
          <v:shape id="Picture 33" o:spid="_x0000_i1067" type="#_x0000_t75" style="width:282.75pt;height:245.25pt;visibility:visible">
            <v:imagedata r:id="rId65" o:title=""/>
          </v:shape>
        </w:pict>
      </w:r>
    </w:p>
    <w:p w:rsidR="00FF5E4C" w:rsidRPr="00097CBA" w:rsidRDefault="00FF5E4C" w:rsidP="00C452BB">
      <w:pPr>
        <w:pStyle w:val="NoSpacing"/>
        <w:rPr>
          <w:rFonts w:cs="Calibri"/>
          <w:color w:val="000000"/>
          <w:sz w:val="20"/>
          <w:szCs w:val="20"/>
        </w:rPr>
      </w:pPr>
    </w:p>
    <w:p w:rsidR="00FF5E4C" w:rsidRPr="00097CBA" w:rsidRDefault="00FF5E4C" w:rsidP="00C452BB">
      <w:pPr>
        <w:pStyle w:val="NoSpacing"/>
        <w:rPr>
          <w:rFonts w:cs="Calibri"/>
          <w:color w:val="000000"/>
          <w:sz w:val="20"/>
          <w:szCs w:val="20"/>
        </w:rPr>
      </w:pPr>
    </w:p>
    <w:p w:rsidR="00FF5E4C" w:rsidRPr="00097CBA" w:rsidRDefault="00FF5E4C" w:rsidP="00097CBA">
      <w:pPr>
        <w:pStyle w:val="NoSpacing"/>
        <w:jc w:val="both"/>
        <w:rPr>
          <w:rFonts w:cs="Calibri"/>
          <w:color w:val="000000"/>
          <w:sz w:val="20"/>
          <w:szCs w:val="20"/>
        </w:rPr>
      </w:pPr>
      <w:r w:rsidRPr="00097CBA">
        <w:rPr>
          <w:rFonts w:cs="Calibri"/>
          <w:color w:val="000000"/>
          <w:sz w:val="20"/>
          <w:szCs w:val="20"/>
        </w:rPr>
        <w:t xml:space="preserve">Figure </w:t>
      </w:r>
      <w:r>
        <w:rPr>
          <w:rFonts w:cs="Calibri"/>
          <w:color w:val="000000"/>
          <w:sz w:val="20"/>
          <w:szCs w:val="20"/>
        </w:rPr>
        <w:t>I-</w:t>
      </w:r>
      <w:r w:rsidRPr="00097CBA">
        <w:rPr>
          <w:rFonts w:cs="Calibri"/>
          <w:color w:val="000000"/>
          <w:sz w:val="20"/>
          <w:szCs w:val="20"/>
        </w:rPr>
        <w:t xml:space="preserve">3 below weights the NREL sites shown above by the 2010 capacity represented in the Bonneville data.  The NREL capacity factor data appear to be systematically lower than the Bonneville historical data.  Because the data sets represent different years, the data are suggestive rather than definitive.  Table </w:t>
      </w:r>
      <w:r>
        <w:rPr>
          <w:rFonts w:cs="Calibri"/>
          <w:color w:val="000000"/>
          <w:sz w:val="20"/>
          <w:szCs w:val="20"/>
        </w:rPr>
        <w:t>I-</w:t>
      </w:r>
      <w:r w:rsidRPr="00097CBA">
        <w:rPr>
          <w:rFonts w:cs="Calibri"/>
          <w:color w:val="000000"/>
          <w:sz w:val="20"/>
          <w:szCs w:val="20"/>
        </w:rPr>
        <w:t xml:space="preserve">1 below shows that the fractions of wind capacity in the Bonneville BA did not vary significantly from 2007-2010, so the weighting by 2010 capacity in Figure 2 above is a reasonable portrayal of the representation of Bonneville BA wind sites in the NREL data base.  </w:t>
      </w:r>
    </w:p>
    <w:p w:rsidR="00FF5E4C" w:rsidRPr="00097CBA" w:rsidRDefault="00FF5E4C" w:rsidP="00C452BB">
      <w:pPr>
        <w:pStyle w:val="NoSpacing"/>
        <w:rPr>
          <w:rFonts w:cs="Calibri"/>
          <w:color w:val="000000"/>
          <w:sz w:val="20"/>
          <w:szCs w:val="20"/>
        </w:rPr>
      </w:pPr>
    </w:p>
    <w:p w:rsidR="00FF5E4C" w:rsidRPr="00097CBA" w:rsidRDefault="00FF5E4C" w:rsidP="00C452BB">
      <w:pPr>
        <w:pStyle w:val="NoSpacing"/>
        <w:rPr>
          <w:rFonts w:cs="Calibri"/>
          <w:b/>
          <w:color w:val="000000"/>
          <w:sz w:val="20"/>
          <w:szCs w:val="20"/>
        </w:rPr>
      </w:pPr>
      <w:r w:rsidRPr="00097CBA">
        <w:rPr>
          <w:rFonts w:cs="Calibri"/>
          <w:b/>
          <w:color w:val="000000"/>
          <w:sz w:val="20"/>
          <w:szCs w:val="20"/>
        </w:rPr>
        <w:t xml:space="preserve">Table </w:t>
      </w:r>
      <w:r>
        <w:rPr>
          <w:rFonts w:cs="Calibri"/>
          <w:b/>
          <w:color w:val="000000"/>
          <w:sz w:val="20"/>
          <w:szCs w:val="20"/>
        </w:rPr>
        <w:t>I-</w:t>
      </w:r>
      <w:r w:rsidRPr="00097CBA">
        <w:rPr>
          <w:rFonts w:cs="Calibri"/>
          <w:b/>
          <w:color w:val="000000"/>
          <w:sz w:val="20"/>
          <w:szCs w:val="20"/>
        </w:rPr>
        <w:t>1</w:t>
      </w:r>
    </w:p>
    <w:p w:rsidR="00FF5E4C" w:rsidRPr="00097CBA" w:rsidRDefault="00FF5E4C" w:rsidP="00C452BB">
      <w:pPr>
        <w:pStyle w:val="NoSpacing"/>
        <w:rPr>
          <w:rFonts w:cs="Calibri"/>
          <w:color w:val="000000"/>
          <w:sz w:val="20"/>
          <w:szCs w:val="20"/>
        </w:rPr>
      </w:pPr>
    </w:p>
    <w:tbl>
      <w:tblPr>
        <w:tblW w:w="0" w:type="auto"/>
        <w:jc w:val="center"/>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7"/>
        <w:gridCol w:w="1134"/>
        <w:gridCol w:w="1079"/>
        <w:gridCol w:w="1700"/>
        <w:gridCol w:w="1292"/>
      </w:tblGrid>
      <w:tr w:rsidR="00FF5E4C" w:rsidRPr="00097CBA" w:rsidTr="00C66B85">
        <w:trPr>
          <w:jc w:val="center"/>
        </w:trPr>
        <w:tc>
          <w:tcPr>
            <w:tcW w:w="3377"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Location</w:t>
            </w:r>
          </w:p>
        </w:tc>
        <w:tc>
          <w:tcPr>
            <w:tcW w:w="1134"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John Day</w:t>
            </w:r>
          </w:p>
        </w:tc>
        <w:tc>
          <w:tcPr>
            <w:tcW w:w="1079"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Stateline</w:t>
            </w:r>
          </w:p>
        </w:tc>
        <w:tc>
          <w:tcPr>
            <w:tcW w:w="1700"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Lower Granite</w:t>
            </w:r>
          </w:p>
        </w:tc>
        <w:tc>
          <w:tcPr>
            <w:tcW w:w="1292"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McNary</w:t>
            </w:r>
          </w:p>
        </w:tc>
      </w:tr>
      <w:tr w:rsidR="00FF5E4C" w:rsidRPr="00097CBA" w:rsidTr="00C66B85">
        <w:trPr>
          <w:jc w:val="center"/>
        </w:trPr>
        <w:tc>
          <w:tcPr>
            <w:tcW w:w="3377"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Fraction of BPA 2007 Capacity</w:t>
            </w:r>
          </w:p>
        </w:tc>
        <w:tc>
          <w:tcPr>
            <w:tcW w:w="1134"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46%</w:t>
            </w:r>
          </w:p>
        </w:tc>
        <w:tc>
          <w:tcPr>
            <w:tcW w:w="1079"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11%</w:t>
            </w:r>
          </w:p>
        </w:tc>
        <w:tc>
          <w:tcPr>
            <w:tcW w:w="1700"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12%</w:t>
            </w:r>
          </w:p>
        </w:tc>
        <w:tc>
          <w:tcPr>
            <w:tcW w:w="1292"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31%</w:t>
            </w:r>
          </w:p>
        </w:tc>
      </w:tr>
      <w:tr w:rsidR="00FF5E4C" w:rsidRPr="00097CBA" w:rsidTr="00C66B85">
        <w:trPr>
          <w:jc w:val="center"/>
        </w:trPr>
        <w:tc>
          <w:tcPr>
            <w:tcW w:w="3377"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Fraction of BPA 2008 Capacity</w:t>
            </w:r>
          </w:p>
        </w:tc>
        <w:tc>
          <w:tcPr>
            <w:tcW w:w="1134"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49%</w:t>
            </w:r>
          </w:p>
        </w:tc>
        <w:tc>
          <w:tcPr>
            <w:tcW w:w="1079"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10%</w:t>
            </w:r>
          </w:p>
        </w:tc>
        <w:tc>
          <w:tcPr>
            <w:tcW w:w="1700"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10%</w:t>
            </w:r>
          </w:p>
        </w:tc>
        <w:tc>
          <w:tcPr>
            <w:tcW w:w="1292"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31%</w:t>
            </w:r>
          </w:p>
        </w:tc>
      </w:tr>
      <w:tr w:rsidR="00FF5E4C" w:rsidRPr="00097CBA" w:rsidTr="00C66B85">
        <w:trPr>
          <w:jc w:val="center"/>
        </w:trPr>
        <w:tc>
          <w:tcPr>
            <w:tcW w:w="3377"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Fraction of BPA 2009 Capacity</w:t>
            </w:r>
          </w:p>
        </w:tc>
        <w:tc>
          <w:tcPr>
            <w:tcW w:w="1134"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50%</w:t>
            </w:r>
          </w:p>
        </w:tc>
        <w:tc>
          <w:tcPr>
            <w:tcW w:w="1079"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6%</w:t>
            </w:r>
          </w:p>
        </w:tc>
        <w:tc>
          <w:tcPr>
            <w:tcW w:w="1700"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6%</w:t>
            </w:r>
          </w:p>
        </w:tc>
        <w:tc>
          <w:tcPr>
            <w:tcW w:w="1292"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38%</w:t>
            </w:r>
          </w:p>
        </w:tc>
      </w:tr>
      <w:tr w:rsidR="00FF5E4C" w:rsidRPr="00097CBA" w:rsidTr="00C66B85">
        <w:trPr>
          <w:jc w:val="center"/>
        </w:trPr>
        <w:tc>
          <w:tcPr>
            <w:tcW w:w="3377"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Fraction of BPA 2010 Capacity</w:t>
            </w:r>
          </w:p>
        </w:tc>
        <w:tc>
          <w:tcPr>
            <w:tcW w:w="1134"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50%</w:t>
            </w:r>
          </w:p>
        </w:tc>
        <w:tc>
          <w:tcPr>
            <w:tcW w:w="1079"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8%</w:t>
            </w:r>
          </w:p>
        </w:tc>
        <w:tc>
          <w:tcPr>
            <w:tcW w:w="1700"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6%</w:t>
            </w:r>
          </w:p>
        </w:tc>
        <w:tc>
          <w:tcPr>
            <w:tcW w:w="1292" w:type="dxa"/>
          </w:tcPr>
          <w:p w:rsidR="00FF5E4C" w:rsidRPr="00097CBA" w:rsidRDefault="00FF5E4C" w:rsidP="00C452BB">
            <w:pPr>
              <w:pStyle w:val="NoSpacing"/>
              <w:rPr>
                <w:rFonts w:cs="Calibri"/>
                <w:color w:val="000000"/>
                <w:sz w:val="20"/>
                <w:szCs w:val="20"/>
              </w:rPr>
            </w:pPr>
            <w:r w:rsidRPr="00097CBA">
              <w:rPr>
                <w:rFonts w:cs="Calibri"/>
                <w:color w:val="000000"/>
                <w:sz w:val="20"/>
                <w:szCs w:val="20"/>
              </w:rPr>
              <w:t>36%</w:t>
            </w:r>
          </w:p>
        </w:tc>
      </w:tr>
    </w:tbl>
    <w:p w:rsidR="00FF5E4C" w:rsidRPr="00097CBA" w:rsidRDefault="00FF5E4C" w:rsidP="00C452BB">
      <w:pPr>
        <w:pStyle w:val="NoSpacing"/>
        <w:rPr>
          <w:rFonts w:cs="Calibri"/>
          <w:color w:val="000000"/>
          <w:sz w:val="20"/>
          <w:szCs w:val="20"/>
        </w:rPr>
      </w:pPr>
    </w:p>
    <w:p w:rsidR="00FF5E4C" w:rsidRPr="00097CBA" w:rsidRDefault="00FF5E4C" w:rsidP="00C452BB">
      <w:pPr>
        <w:pStyle w:val="NoSpacing"/>
        <w:rPr>
          <w:rFonts w:cs="Calibri"/>
          <w:color w:val="000000"/>
          <w:sz w:val="20"/>
          <w:szCs w:val="20"/>
        </w:rPr>
      </w:pPr>
    </w:p>
    <w:p w:rsidR="00FF5E4C" w:rsidRPr="00097CBA" w:rsidRDefault="00FF5E4C" w:rsidP="00C452BB">
      <w:pPr>
        <w:pStyle w:val="NoSpacing"/>
        <w:rPr>
          <w:rFonts w:cs="Calibri"/>
          <w:b/>
          <w:color w:val="000000"/>
          <w:sz w:val="20"/>
          <w:szCs w:val="20"/>
        </w:rPr>
      </w:pPr>
      <w:r w:rsidRPr="00097CBA">
        <w:rPr>
          <w:rFonts w:cs="Calibri"/>
          <w:color w:val="000000"/>
          <w:sz w:val="20"/>
          <w:szCs w:val="20"/>
        </w:rPr>
        <w:br w:type="column"/>
      </w:r>
      <w:r w:rsidRPr="00097CBA">
        <w:rPr>
          <w:rFonts w:cs="Calibri"/>
          <w:b/>
          <w:color w:val="000000"/>
          <w:sz w:val="20"/>
          <w:szCs w:val="20"/>
        </w:rPr>
        <w:t xml:space="preserve">Figure </w:t>
      </w:r>
      <w:r>
        <w:rPr>
          <w:rFonts w:cs="Calibri"/>
          <w:b/>
          <w:color w:val="000000"/>
          <w:sz w:val="20"/>
          <w:szCs w:val="20"/>
        </w:rPr>
        <w:t>I-</w:t>
      </w:r>
      <w:r w:rsidRPr="00097CBA">
        <w:rPr>
          <w:rFonts w:cs="Calibri"/>
          <w:b/>
          <w:color w:val="000000"/>
          <w:sz w:val="20"/>
          <w:szCs w:val="20"/>
        </w:rPr>
        <w:t>3</w:t>
      </w:r>
    </w:p>
    <w:p w:rsidR="00FF5E4C" w:rsidRPr="00097CBA" w:rsidRDefault="00FF5E4C" w:rsidP="00C452BB">
      <w:pPr>
        <w:pStyle w:val="NoSpacing"/>
        <w:rPr>
          <w:rFonts w:cs="Calibri"/>
          <w:color w:val="000000"/>
          <w:sz w:val="20"/>
          <w:szCs w:val="20"/>
        </w:rPr>
      </w:pPr>
      <w:r w:rsidRPr="0007596D">
        <w:rPr>
          <w:rFonts w:cs="Calibri"/>
          <w:noProof/>
          <w:color w:val="000000"/>
          <w:sz w:val="20"/>
          <w:szCs w:val="20"/>
        </w:rPr>
        <w:pict>
          <v:shape id="Picture 34" o:spid="_x0000_i1068" type="#_x0000_t75" style="width:293.25pt;height:232.5pt;visibility:visible">
            <v:imagedata r:id="rId66" o:title=""/>
          </v:shape>
        </w:pict>
      </w:r>
    </w:p>
    <w:p w:rsidR="00FF5E4C" w:rsidRPr="00097CBA" w:rsidRDefault="00FF5E4C" w:rsidP="00C452BB">
      <w:pPr>
        <w:pStyle w:val="NoSpacing"/>
        <w:rPr>
          <w:rFonts w:cs="Calibri"/>
          <w:color w:val="000000"/>
          <w:sz w:val="20"/>
          <w:szCs w:val="20"/>
        </w:rPr>
      </w:pPr>
    </w:p>
    <w:p w:rsidR="00FF5E4C" w:rsidRPr="000E0213" w:rsidRDefault="00FF5E4C" w:rsidP="00A33557">
      <w:pPr>
        <w:spacing w:after="0" w:line="240" w:lineRule="auto"/>
        <w:rPr>
          <w:sz w:val="20"/>
          <w:szCs w:val="20"/>
        </w:rPr>
      </w:pPr>
      <w:r w:rsidRPr="000E0213">
        <w:rPr>
          <w:sz w:val="20"/>
          <w:szCs w:val="20"/>
        </w:rPr>
        <w:t>Figure I-4 below shows a fuller history of the capacity factors of Bonneville</w:t>
      </w:r>
      <w:r>
        <w:rPr>
          <w:sz w:val="20"/>
          <w:szCs w:val="20"/>
        </w:rPr>
        <w:t>’</w:t>
      </w:r>
      <w:r w:rsidRPr="000E0213">
        <w:rPr>
          <w:sz w:val="20"/>
          <w:szCs w:val="20"/>
        </w:rPr>
        <w:t xml:space="preserve">s wind fleet.  It </w:t>
      </w:r>
      <w:r>
        <w:rPr>
          <w:sz w:val="20"/>
          <w:szCs w:val="20"/>
        </w:rPr>
        <w:t>reflects</w:t>
      </w:r>
      <w:r w:rsidRPr="000E0213">
        <w:rPr>
          <w:sz w:val="20"/>
          <w:szCs w:val="20"/>
        </w:rPr>
        <w:t xml:space="preserve"> the different composition of wind plant sites in the fleet</w:t>
      </w:r>
      <w:r>
        <w:rPr>
          <w:sz w:val="20"/>
          <w:szCs w:val="20"/>
        </w:rPr>
        <w:t xml:space="preserve"> over time, but the NREL data is the same as in Figure I-3 above. </w:t>
      </w:r>
      <w:r w:rsidRPr="000E0213">
        <w:rPr>
          <w:sz w:val="20"/>
          <w:szCs w:val="20"/>
        </w:rPr>
        <w:t xml:space="preserve"> </w:t>
      </w:r>
      <w:r>
        <w:rPr>
          <w:sz w:val="20"/>
          <w:szCs w:val="20"/>
        </w:rPr>
        <w:t>The data support the conclusion above, that the NREL capacity factor data could be systematically lower than the historical data.  T</w:t>
      </w:r>
      <w:r w:rsidRPr="000E0213">
        <w:rPr>
          <w:sz w:val="20"/>
          <w:szCs w:val="20"/>
        </w:rPr>
        <w:t xml:space="preserve">he data also suggest a substantial amount of year-to-year variation, and potentially some trend or larger cycle at work.  Potential sources of trends are improvements in wind turbine technology and increased weights of more productive wind plant sites in the mix.  </w:t>
      </w:r>
      <w:r>
        <w:rPr>
          <w:sz w:val="20"/>
          <w:szCs w:val="20"/>
        </w:rPr>
        <w:t xml:space="preserve">There are also indications that it reflects </w:t>
      </w:r>
      <w:r w:rsidRPr="000E0213">
        <w:rPr>
          <w:sz w:val="20"/>
          <w:szCs w:val="20"/>
        </w:rPr>
        <w:t>effects of the El Nino/La Ni</w:t>
      </w:r>
      <w:r>
        <w:rPr>
          <w:sz w:val="20"/>
          <w:szCs w:val="20"/>
        </w:rPr>
        <w:t xml:space="preserve">na cycle and may be correlated with water conditions in the Northwest.  </w:t>
      </w:r>
    </w:p>
    <w:p w:rsidR="00FF5E4C" w:rsidRDefault="00FF5E4C" w:rsidP="00A33557">
      <w:pPr>
        <w:spacing w:after="0" w:line="240" w:lineRule="auto"/>
        <w:rPr>
          <w:sz w:val="20"/>
          <w:szCs w:val="20"/>
        </w:rPr>
      </w:pPr>
    </w:p>
    <w:p w:rsidR="00FF5E4C" w:rsidRDefault="00FF5E4C" w:rsidP="00A33557">
      <w:pPr>
        <w:spacing w:after="0" w:line="240" w:lineRule="auto"/>
        <w:rPr>
          <w:sz w:val="20"/>
          <w:szCs w:val="20"/>
        </w:rPr>
      </w:pPr>
      <w:r w:rsidRPr="000E0213">
        <w:rPr>
          <w:sz w:val="20"/>
          <w:szCs w:val="20"/>
        </w:rPr>
        <w:t xml:space="preserve">Figure </w:t>
      </w:r>
      <w:r>
        <w:rPr>
          <w:sz w:val="20"/>
          <w:szCs w:val="20"/>
        </w:rPr>
        <w:t>I</w:t>
      </w:r>
      <w:r w:rsidRPr="000E0213">
        <w:rPr>
          <w:sz w:val="20"/>
          <w:szCs w:val="20"/>
        </w:rPr>
        <w:t>-4 - BPA Wind Fleet</w:t>
      </w:r>
    </w:p>
    <w:p w:rsidR="00FF5E4C" w:rsidRPr="00462816" w:rsidRDefault="00FF5E4C" w:rsidP="00C21ADC">
      <w:pPr>
        <w:pStyle w:val="NoSpacing"/>
        <w:rPr>
          <w:rFonts w:cs="Calibri"/>
          <w:b/>
          <w:color w:val="000000"/>
          <w:sz w:val="20"/>
          <w:szCs w:val="20"/>
        </w:rPr>
      </w:pPr>
      <w:r>
        <w:rPr>
          <w:noProof/>
        </w:rPr>
        <w:pict>
          <v:shape id="Picture 3" o:spid="_x0000_s1027" type="#_x0000_t75" style="position:absolute;margin-left:0;margin-top:11.6pt;width:313.05pt;height:197.05pt;z-index:251659264;visibility:visible">
            <v:imagedata r:id="rId67" o:title=""/>
          </v:shape>
        </w:pict>
      </w: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Pr="00462816"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Default="00FF5E4C" w:rsidP="00C21ADC">
      <w:pPr>
        <w:pStyle w:val="NoSpacing"/>
        <w:rPr>
          <w:rFonts w:cs="Calibri"/>
          <w:b/>
          <w:color w:val="000000"/>
          <w:sz w:val="20"/>
          <w:szCs w:val="20"/>
        </w:rPr>
      </w:pPr>
    </w:p>
    <w:p w:rsidR="00FF5E4C" w:rsidRPr="00097CBA" w:rsidRDefault="00FF5E4C" w:rsidP="005123E4">
      <w:pPr>
        <w:pStyle w:val="NoSpacing"/>
        <w:jc w:val="both"/>
        <w:rPr>
          <w:rFonts w:cs="Calibri"/>
          <w:color w:val="000000"/>
          <w:sz w:val="20"/>
          <w:szCs w:val="20"/>
        </w:rPr>
      </w:pPr>
      <w:r>
        <w:rPr>
          <w:rFonts w:cs="Calibri"/>
          <w:b/>
          <w:color w:val="000000"/>
          <w:sz w:val="20"/>
          <w:szCs w:val="20"/>
        </w:rPr>
        <w:br w:type="column"/>
      </w:r>
      <w:r w:rsidRPr="00097CBA">
        <w:rPr>
          <w:rFonts w:cs="Calibri"/>
          <w:color w:val="000000"/>
          <w:sz w:val="20"/>
          <w:szCs w:val="20"/>
        </w:rPr>
        <w:t>The general conclusion that the overall energy output, shown by the capacity factors, in the NREL data could be systematically lower than actual is generally supported by the validation studies done by 3Tier on NW wind sites.</w:t>
      </w:r>
      <w:r w:rsidRPr="00097CBA">
        <w:rPr>
          <w:rStyle w:val="FootnoteReference"/>
          <w:rFonts w:cs="Calibri"/>
          <w:color w:val="000000"/>
          <w:sz w:val="20"/>
          <w:szCs w:val="20"/>
        </w:rPr>
        <w:footnoteReference w:id="5"/>
      </w:r>
      <w:r w:rsidRPr="00097CBA">
        <w:rPr>
          <w:rFonts w:cs="Calibri"/>
          <w:color w:val="000000"/>
          <w:sz w:val="20"/>
          <w:szCs w:val="20"/>
        </w:rPr>
        <w:t xml:space="preserve">  These mostly show modeled average wind speeds below measured wind speeds for the sites, though the general statistical properties of the modeled data were deemed satisfactory.  This is illustrated by Figure </w:t>
      </w:r>
      <w:r>
        <w:rPr>
          <w:rFonts w:cs="Calibri"/>
          <w:color w:val="000000"/>
          <w:sz w:val="20"/>
          <w:szCs w:val="20"/>
        </w:rPr>
        <w:t>I-5</w:t>
      </w:r>
      <w:r w:rsidRPr="00097CBA">
        <w:rPr>
          <w:rFonts w:cs="Calibri"/>
          <w:color w:val="000000"/>
          <w:sz w:val="20"/>
          <w:szCs w:val="20"/>
        </w:rPr>
        <w:t xml:space="preserve"> below, from the report on Vansycle Ridge (</w:t>
      </w:r>
      <w:r w:rsidRPr="00D7545F">
        <w:rPr>
          <w:rFonts w:cs="Calibri"/>
          <w:color w:val="000000"/>
          <w:sz w:val="20"/>
          <w:szCs w:val="20"/>
        </w:rPr>
        <w:t xml:space="preserve">reference in footnote </w:t>
      </w:r>
      <w:r>
        <w:rPr>
          <w:rFonts w:cs="Calibri"/>
          <w:color w:val="000000"/>
          <w:sz w:val="20"/>
          <w:szCs w:val="20"/>
        </w:rPr>
        <w:t>5</w:t>
      </w:r>
      <w:r w:rsidRPr="00D7545F">
        <w:rPr>
          <w:rFonts w:cs="Calibri"/>
          <w:color w:val="000000"/>
          <w:sz w:val="20"/>
          <w:szCs w:val="20"/>
        </w:rPr>
        <w:t>).</w:t>
      </w:r>
      <w:r w:rsidRPr="00097CBA">
        <w:rPr>
          <w:rFonts w:cs="Calibri"/>
          <w:color w:val="000000"/>
          <w:sz w:val="20"/>
          <w:szCs w:val="20"/>
        </w:rPr>
        <w:t xml:space="preserve">  </w:t>
      </w:r>
    </w:p>
    <w:p w:rsidR="00FF5E4C" w:rsidRDefault="00FF5E4C" w:rsidP="005123E4">
      <w:pPr>
        <w:pStyle w:val="NoSpacing"/>
        <w:rPr>
          <w:rFonts w:cs="Calibri"/>
          <w:color w:val="000000"/>
          <w:sz w:val="20"/>
          <w:szCs w:val="20"/>
        </w:rPr>
      </w:pPr>
    </w:p>
    <w:p w:rsidR="00FF5E4C" w:rsidRDefault="00FF5E4C" w:rsidP="00C21ADC">
      <w:pPr>
        <w:pStyle w:val="NoSpacing"/>
        <w:rPr>
          <w:rFonts w:cs="Calibri"/>
          <w:b/>
          <w:color w:val="000000"/>
          <w:sz w:val="20"/>
          <w:szCs w:val="20"/>
        </w:rPr>
      </w:pPr>
      <w:r w:rsidRPr="00097CBA">
        <w:rPr>
          <w:rFonts w:cs="Calibri"/>
          <w:b/>
          <w:color w:val="000000"/>
          <w:sz w:val="20"/>
          <w:szCs w:val="20"/>
        </w:rPr>
        <w:t xml:space="preserve">Figure </w:t>
      </w:r>
      <w:r>
        <w:rPr>
          <w:rFonts w:cs="Calibri"/>
          <w:b/>
          <w:color w:val="000000"/>
          <w:sz w:val="20"/>
          <w:szCs w:val="20"/>
        </w:rPr>
        <w:t>I-5</w:t>
      </w:r>
      <w:r>
        <w:rPr>
          <w:rFonts w:cs="Calibri"/>
          <w:b/>
          <w:color w:val="000000"/>
          <w:sz w:val="20"/>
          <w:szCs w:val="20"/>
        </w:rPr>
        <w:tab/>
      </w:r>
      <w:r>
        <w:rPr>
          <w:rFonts w:cs="Calibri"/>
          <w:b/>
          <w:color w:val="000000"/>
          <w:sz w:val="20"/>
          <w:szCs w:val="20"/>
        </w:rPr>
        <w:tab/>
      </w:r>
    </w:p>
    <w:p w:rsidR="00FF5E4C" w:rsidRPr="00097CBA" w:rsidRDefault="00FF5E4C" w:rsidP="00C21ADC">
      <w:pPr>
        <w:pStyle w:val="NoSpacing"/>
        <w:rPr>
          <w:rFonts w:cs="Calibri"/>
          <w:color w:val="000000"/>
          <w:sz w:val="20"/>
          <w:szCs w:val="20"/>
        </w:rPr>
      </w:pPr>
      <w:r w:rsidRPr="00097CBA">
        <w:rPr>
          <w:rFonts w:cs="Calibri"/>
          <w:b/>
          <w:color w:val="000000"/>
          <w:sz w:val="20"/>
          <w:szCs w:val="20"/>
        </w:rPr>
        <w:t>Vansycle simulated vs. measured wind speed</w:t>
      </w:r>
    </w:p>
    <w:p w:rsidR="00FF5E4C" w:rsidRPr="00097CBA" w:rsidRDefault="00FF5E4C" w:rsidP="00C21ADC">
      <w:pPr>
        <w:pStyle w:val="NoSpacing"/>
        <w:rPr>
          <w:rFonts w:cs="Calibri"/>
          <w:color w:val="000000"/>
          <w:sz w:val="20"/>
          <w:szCs w:val="20"/>
        </w:rPr>
      </w:pPr>
    </w:p>
    <w:p w:rsidR="00FF5E4C" w:rsidRPr="00097CBA" w:rsidRDefault="00FF5E4C" w:rsidP="00C21ADC">
      <w:pPr>
        <w:pStyle w:val="NoSpacing"/>
        <w:rPr>
          <w:rFonts w:cs="Calibri"/>
          <w:color w:val="000000"/>
          <w:sz w:val="20"/>
          <w:szCs w:val="20"/>
        </w:rPr>
      </w:pPr>
      <w:r w:rsidRPr="0007596D">
        <w:rPr>
          <w:rFonts w:cs="Calibri"/>
          <w:noProof/>
          <w:color w:val="000000"/>
          <w:sz w:val="20"/>
          <w:szCs w:val="20"/>
        </w:rPr>
        <w:pict>
          <v:shape id="Picture 35" o:spid="_x0000_i1069" type="#_x0000_t75" style="width:219.75pt;height:186.75pt;visibility:visible">
            <v:imagedata r:id="rId68" o:title=""/>
          </v:shape>
        </w:pict>
      </w:r>
    </w:p>
    <w:p w:rsidR="00FF5E4C" w:rsidRDefault="00FF5E4C" w:rsidP="00C21ADC">
      <w:pPr>
        <w:pStyle w:val="NoSpacing"/>
        <w:jc w:val="both"/>
        <w:rPr>
          <w:rFonts w:cs="Calibri"/>
          <w:color w:val="000000"/>
          <w:sz w:val="20"/>
          <w:szCs w:val="20"/>
        </w:rPr>
      </w:pPr>
    </w:p>
    <w:p w:rsidR="00FF5E4C" w:rsidRPr="00097CBA" w:rsidRDefault="00FF5E4C" w:rsidP="00C21ADC">
      <w:pPr>
        <w:pStyle w:val="NoSpacing"/>
        <w:jc w:val="both"/>
        <w:rPr>
          <w:rFonts w:cs="Calibri"/>
          <w:color w:val="000000"/>
          <w:sz w:val="20"/>
          <w:szCs w:val="20"/>
        </w:rPr>
      </w:pPr>
      <w:r>
        <w:rPr>
          <w:rFonts w:cs="Calibri"/>
          <w:color w:val="000000"/>
          <w:sz w:val="20"/>
          <w:szCs w:val="20"/>
        </w:rPr>
        <w:t>S</w:t>
      </w:r>
      <w:r w:rsidRPr="00097CBA">
        <w:rPr>
          <w:rFonts w:cs="Calibri"/>
          <w:color w:val="000000"/>
          <w:sz w:val="20"/>
          <w:szCs w:val="20"/>
        </w:rPr>
        <w:t>imilar historical wind generation data for the remote sites in Montana and Wyoming</w:t>
      </w:r>
      <w:r>
        <w:rPr>
          <w:rFonts w:cs="Calibri"/>
          <w:color w:val="000000"/>
          <w:sz w:val="20"/>
          <w:szCs w:val="20"/>
        </w:rPr>
        <w:t xml:space="preserve"> was not found</w:t>
      </w:r>
      <w:r w:rsidRPr="00097CBA">
        <w:rPr>
          <w:rFonts w:cs="Calibri"/>
          <w:color w:val="000000"/>
          <w:sz w:val="20"/>
          <w:szCs w:val="20"/>
        </w:rPr>
        <w:t xml:space="preserve">.  There are two 3Tier validation reports, both for wind towers in Montana (estimated to be approximately 50-100 miles E and SE of Great Falls for towers 26010 and 26007 respectively).  The comparable figures to Figure 4 above are shown in Figures </w:t>
      </w:r>
      <w:r>
        <w:rPr>
          <w:rFonts w:cs="Calibri"/>
          <w:color w:val="000000"/>
          <w:sz w:val="20"/>
          <w:szCs w:val="20"/>
        </w:rPr>
        <w:t>I-6</w:t>
      </w:r>
      <w:r w:rsidRPr="00097CBA">
        <w:rPr>
          <w:rFonts w:cs="Calibri"/>
          <w:color w:val="000000"/>
          <w:sz w:val="20"/>
          <w:szCs w:val="20"/>
        </w:rPr>
        <w:t xml:space="preserve"> and </w:t>
      </w:r>
      <w:r>
        <w:rPr>
          <w:rFonts w:cs="Calibri"/>
          <w:color w:val="000000"/>
          <w:sz w:val="20"/>
          <w:szCs w:val="20"/>
        </w:rPr>
        <w:t>I-7</w:t>
      </w:r>
      <w:r w:rsidRPr="00097CBA">
        <w:rPr>
          <w:rFonts w:cs="Calibri"/>
          <w:color w:val="000000"/>
          <w:sz w:val="20"/>
          <w:szCs w:val="20"/>
        </w:rPr>
        <w:t xml:space="preserve"> below.  These examples suggest comparable understatement of simulated wind output for Montana, though the magnitude may be slightly smaller than for the Columbia Basin area.  More examination of Montana and Wyoming historical actual data would be useful.  </w:t>
      </w:r>
    </w:p>
    <w:p w:rsidR="00FF5E4C" w:rsidRPr="00097CBA" w:rsidRDefault="00FF5E4C" w:rsidP="00C21ADC">
      <w:pPr>
        <w:pStyle w:val="NoSpacing"/>
        <w:rPr>
          <w:rFonts w:cs="Calibri"/>
          <w:color w:val="000000"/>
          <w:sz w:val="20"/>
          <w:szCs w:val="20"/>
        </w:rPr>
      </w:pPr>
    </w:p>
    <w:p w:rsidR="00FF5E4C" w:rsidRPr="00097CBA" w:rsidRDefault="00FF5E4C" w:rsidP="00C21ADC">
      <w:pPr>
        <w:pStyle w:val="NoSpacing"/>
        <w:rPr>
          <w:rFonts w:cs="Calibri"/>
          <w:b/>
          <w:color w:val="000000"/>
          <w:sz w:val="20"/>
          <w:szCs w:val="20"/>
        </w:rPr>
      </w:pPr>
      <w:r>
        <w:rPr>
          <w:rFonts w:cs="Calibri"/>
          <w:b/>
          <w:color w:val="000000"/>
          <w:sz w:val="20"/>
          <w:szCs w:val="20"/>
        </w:rPr>
        <w:br w:type="column"/>
      </w:r>
      <w:r w:rsidRPr="00097CBA">
        <w:rPr>
          <w:rFonts w:cs="Calibri"/>
          <w:b/>
          <w:color w:val="000000"/>
          <w:sz w:val="20"/>
          <w:szCs w:val="20"/>
        </w:rPr>
        <w:t xml:space="preserve">Figure </w:t>
      </w:r>
      <w:r>
        <w:rPr>
          <w:rFonts w:cs="Calibri"/>
          <w:b/>
          <w:color w:val="000000"/>
          <w:sz w:val="20"/>
          <w:szCs w:val="20"/>
        </w:rPr>
        <w:t>I-6</w:t>
      </w:r>
    </w:p>
    <w:p w:rsidR="00FF5E4C" w:rsidRPr="00097CBA" w:rsidRDefault="00FF5E4C" w:rsidP="00C21ADC">
      <w:pPr>
        <w:pStyle w:val="NoSpacing"/>
        <w:rPr>
          <w:rFonts w:cs="Calibri"/>
          <w:b/>
          <w:color w:val="000000"/>
          <w:sz w:val="20"/>
          <w:szCs w:val="20"/>
        </w:rPr>
      </w:pPr>
      <w:r w:rsidRPr="00097CBA">
        <w:rPr>
          <w:rFonts w:cs="Calibri"/>
          <w:b/>
          <w:color w:val="000000"/>
          <w:sz w:val="20"/>
          <w:szCs w:val="20"/>
        </w:rPr>
        <w:t>Montana Tower 2610 - simulated vs. measured wind speed</w:t>
      </w:r>
    </w:p>
    <w:p w:rsidR="00FF5E4C" w:rsidRPr="00097CBA" w:rsidRDefault="00FF5E4C" w:rsidP="00C21ADC">
      <w:pPr>
        <w:pStyle w:val="NoSpacing"/>
        <w:rPr>
          <w:rFonts w:cs="Calibri"/>
          <w:color w:val="000000"/>
          <w:sz w:val="20"/>
          <w:szCs w:val="20"/>
        </w:rPr>
      </w:pPr>
    </w:p>
    <w:p w:rsidR="00FF5E4C" w:rsidRPr="00097CBA" w:rsidRDefault="00FF5E4C" w:rsidP="00C21ADC">
      <w:pPr>
        <w:pStyle w:val="NoSpacing"/>
        <w:rPr>
          <w:rFonts w:cs="Calibri"/>
          <w:color w:val="000000"/>
          <w:sz w:val="20"/>
          <w:szCs w:val="20"/>
        </w:rPr>
      </w:pPr>
      <w:r w:rsidRPr="0007596D">
        <w:rPr>
          <w:rFonts w:cs="Calibri"/>
          <w:noProof/>
          <w:color w:val="000000"/>
          <w:sz w:val="20"/>
          <w:szCs w:val="20"/>
        </w:rPr>
        <w:pict>
          <v:shape id="Picture 36" o:spid="_x0000_i1070" type="#_x0000_t75" style="width:248.25pt;height:193.5pt;visibility:visible">
            <v:imagedata r:id="rId69" o:title=""/>
          </v:shape>
        </w:pict>
      </w:r>
    </w:p>
    <w:p w:rsidR="00FF5E4C" w:rsidRPr="00097CBA" w:rsidRDefault="00FF5E4C" w:rsidP="00C21ADC">
      <w:pPr>
        <w:pStyle w:val="NoSpacing"/>
        <w:rPr>
          <w:rFonts w:cs="Calibri"/>
          <w:color w:val="000000"/>
          <w:sz w:val="20"/>
          <w:szCs w:val="20"/>
        </w:rPr>
      </w:pPr>
    </w:p>
    <w:p w:rsidR="00FF5E4C" w:rsidRPr="00097CBA" w:rsidRDefault="00FF5E4C" w:rsidP="00C21ADC">
      <w:pPr>
        <w:pStyle w:val="NoSpacing"/>
        <w:rPr>
          <w:rFonts w:cs="Calibri"/>
          <w:b/>
          <w:color w:val="000000"/>
          <w:sz w:val="20"/>
          <w:szCs w:val="20"/>
        </w:rPr>
      </w:pPr>
      <w:r w:rsidRPr="00097CBA">
        <w:rPr>
          <w:rFonts w:cs="Calibri"/>
          <w:b/>
          <w:color w:val="000000"/>
          <w:sz w:val="20"/>
          <w:szCs w:val="20"/>
        </w:rPr>
        <w:t xml:space="preserve">Figure </w:t>
      </w:r>
      <w:r>
        <w:rPr>
          <w:rFonts w:cs="Calibri"/>
          <w:b/>
          <w:color w:val="000000"/>
          <w:sz w:val="20"/>
          <w:szCs w:val="20"/>
        </w:rPr>
        <w:t>I-7</w:t>
      </w:r>
    </w:p>
    <w:p w:rsidR="00FF5E4C" w:rsidRPr="00097CBA" w:rsidRDefault="00FF5E4C" w:rsidP="00C21ADC">
      <w:pPr>
        <w:pStyle w:val="NoSpacing"/>
        <w:rPr>
          <w:rFonts w:cs="Calibri"/>
          <w:b/>
          <w:color w:val="000000"/>
          <w:sz w:val="20"/>
          <w:szCs w:val="20"/>
        </w:rPr>
      </w:pPr>
      <w:r w:rsidRPr="00097CBA">
        <w:rPr>
          <w:rFonts w:cs="Calibri"/>
          <w:b/>
          <w:color w:val="000000"/>
          <w:sz w:val="20"/>
          <w:szCs w:val="20"/>
        </w:rPr>
        <w:t>Montana Tower 26007 - simulated vs. measured wind speed</w:t>
      </w:r>
    </w:p>
    <w:p w:rsidR="00FF5E4C" w:rsidRPr="00097CBA" w:rsidRDefault="00FF5E4C" w:rsidP="00C21ADC">
      <w:pPr>
        <w:pStyle w:val="NoSpacing"/>
        <w:rPr>
          <w:rFonts w:cs="Calibri"/>
          <w:color w:val="000000"/>
          <w:sz w:val="20"/>
          <w:szCs w:val="20"/>
        </w:rPr>
      </w:pPr>
    </w:p>
    <w:p w:rsidR="00FF5E4C" w:rsidRPr="00097CBA" w:rsidRDefault="00FF5E4C" w:rsidP="00C21ADC">
      <w:pPr>
        <w:pStyle w:val="NoSpacing"/>
        <w:rPr>
          <w:rFonts w:cs="Calibri"/>
          <w:color w:val="000000"/>
          <w:sz w:val="20"/>
          <w:szCs w:val="20"/>
        </w:rPr>
      </w:pPr>
      <w:r w:rsidRPr="0007596D">
        <w:rPr>
          <w:rFonts w:cs="Calibri"/>
          <w:noProof/>
          <w:color w:val="000000"/>
          <w:sz w:val="20"/>
          <w:szCs w:val="20"/>
        </w:rPr>
        <w:pict>
          <v:shape id="Picture 37" o:spid="_x0000_i1071" type="#_x0000_t75" style="width:246.75pt;height:189.75pt;visibility:visible">
            <v:imagedata r:id="rId70" o:title=""/>
          </v:shape>
        </w:pict>
      </w:r>
    </w:p>
    <w:p w:rsidR="00FF5E4C" w:rsidRPr="00097CBA" w:rsidRDefault="00FF5E4C" w:rsidP="00C21ADC">
      <w:pPr>
        <w:pStyle w:val="NoSpacing"/>
        <w:rPr>
          <w:rFonts w:cs="Calibri"/>
          <w:color w:val="000000"/>
          <w:sz w:val="20"/>
          <w:szCs w:val="20"/>
        </w:rPr>
      </w:pPr>
    </w:p>
    <w:p w:rsidR="00FF5E4C" w:rsidRDefault="00FF5E4C" w:rsidP="00C21ADC">
      <w:pPr>
        <w:pStyle w:val="NoSpacing"/>
        <w:rPr>
          <w:rFonts w:cs="Calibri"/>
          <w:color w:val="000000"/>
          <w:sz w:val="20"/>
          <w:szCs w:val="20"/>
        </w:rPr>
      </w:pPr>
      <w:r>
        <w:rPr>
          <w:rFonts w:cs="Calibri"/>
          <w:color w:val="000000"/>
          <w:sz w:val="20"/>
          <w:szCs w:val="20"/>
        </w:rPr>
        <w:t>NWE experience indicates that the Judith Gap wind projects in central Montana have produced about 40% capacity factor wind.</w:t>
      </w:r>
    </w:p>
    <w:p w:rsidR="00FF5E4C" w:rsidRDefault="00FF5E4C" w:rsidP="00C452BB">
      <w:pPr>
        <w:pStyle w:val="NoSpacing"/>
        <w:rPr>
          <w:rFonts w:cs="Calibri"/>
          <w:color w:val="000000"/>
          <w:sz w:val="20"/>
          <w:szCs w:val="20"/>
        </w:rPr>
      </w:pPr>
    </w:p>
    <w:p w:rsidR="00FF5E4C" w:rsidRPr="00097CBA" w:rsidRDefault="00FF5E4C" w:rsidP="00C452BB">
      <w:pPr>
        <w:pStyle w:val="NoSpacing"/>
        <w:rPr>
          <w:rFonts w:cs="Calibri"/>
          <w:color w:val="000000"/>
          <w:sz w:val="20"/>
          <w:szCs w:val="20"/>
        </w:rPr>
      </w:pPr>
    </w:p>
    <w:p w:rsidR="00FF5E4C" w:rsidRPr="00C24C58" w:rsidRDefault="00FF5E4C" w:rsidP="00C24C58">
      <w:pPr>
        <w:pStyle w:val="Heading2"/>
        <w:rPr>
          <w:rFonts w:ascii="Calibri" w:hAnsi="Calibri" w:cs="Calibri"/>
          <w:color w:val="auto"/>
          <w:sz w:val="20"/>
          <w:szCs w:val="20"/>
        </w:rPr>
      </w:pPr>
      <w:r>
        <w:br w:type="page"/>
      </w:r>
      <w:bookmarkStart w:id="15" w:name="_Toc260752706"/>
      <w:r w:rsidRPr="00C24C58">
        <w:rPr>
          <w:rFonts w:ascii="Calibri" w:hAnsi="Calibri" w:cs="Calibri"/>
          <w:color w:val="auto"/>
          <w:sz w:val="20"/>
          <w:szCs w:val="20"/>
        </w:rPr>
        <w:t>Depletion of Gorge Wind, How does SE OR, Coastal, AB wind fit in</w:t>
      </w:r>
      <w:bookmarkEnd w:id="15"/>
    </w:p>
    <w:p w:rsidR="00FF5E4C" w:rsidRDefault="00FF5E4C" w:rsidP="005227C2">
      <w:pPr>
        <w:pStyle w:val="NoSpacing"/>
        <w:jc w:val="both"/>
        <w:rPr>
          <w:b/>
          <w:sz w:val="20"/>
          <w:szCs w:val="20"/>
          <w:u w:val="single"/>
        </w:rPr>
      </w:pPr>
    </w:p>
    <w:p w:rsidR="00FF5E4C" w:rsidRPr="00FD3DAE" w:rsidRDefault="00FF5E4C" w:rsidP="00FD3DAE">
      <w:pPr>
        <w:rPr>
          <w:rFonts w:cs="Arial"/>
          <w:b/>
          <w:sz w:val="20"/>
          <w:szCs w:val="20"/>
          <w:u w:val="single"/>
        </w:rPr>
      </w:pPr>
      <w:r w:rsidRPr="00FD3DAE">
        <w:rPr>
          <w:rFonts w:cs="Arial"/>
          <w:b/>
          <w:sz w:val="20"/>
          <w:szCs w:val="20"/>
          <w:u w:val="single"/>
        </w:rPr>
        <w:t>Key Assumptions:</w:t>
      </w:r>
    </w:p>
    <w:p w:rsidR="00FF5E4C" w:rsidRPr="00FD3DAE" w:rsidRDefault="00FF5E4C" w:rsidP="00FD3DAE">
      <w:pPr>
        <w:rPr>
          <w:rFonts w:cs="Arial"/>
          <w:sz w:val="20"/>
          <w:szCs w:val="20"/>
        </w:rPr>
      </w:pPr>
      <w:r w:rsidRPr="00FD3DAE">
        <w:rPr>
          <w:rFonts w:cs="Arial"/>
          <w:sz w:val="20"/>
          <w:szCs w:val="20"/>
        </w:rPr>
        <w:t xml:space="preserve">The Western Renewable Energy Zones (WREZ) Generation and Transmission (GTM) model was developed jointly by the Western Governors’ Association and the Western Interstate Energy Board. It was designed to assist users in the easy identification of the cost and value of renewable resources delivered to different load zones.  </w:t>
      </w:r>
    </w:p>
    <w:p w:rsidR="00FF5E4C" w:rsidRPr="00FD3DAE" w:rsidRDefault="00FF5E4C" w:rsidP="00FD3DAE">
      <w:pPr>
        <w:rPr>
          <w:rFonts w:cs="Arial"/>
          <w:sz w:val="20"/>
          <w:szCs w:val="20"/>
        </w:rPr>
      </w:pPr>
      <w:r w:rsidRPr="00FD3DAE">
        <w:rPr>
          <w:rFonts w:cs="Arial"/>
          <w:sz w:val="20"/>
          <w:szCs w:val="20"/>
        </w:rPr>
        <w:t xml:space="preserve">Renewable resource capacity potentials were determined for each renewable zone by the WREZ Zone Identification and Technology Assessment (ZITA) Work Group.  A detailed discussion of the resources and zone identification process may be found at: </w:t>
      </w:r>
      <w:hyperlink r:id="rId71" w:history="1">
        <w:r w:rsidRPr="00FD3DAE">
          <w:rPr>
            <w:rStyle w:val="Hyperlink"/>
            <w:rFonts w:cs="Arial"/>
            <w:sz w:val="20"/>
            <w:szCs w:val="20"/>
          </w:rPr>
          <w:t>http://www.nrel.gov/docs/fy10osti/46877.pdf</w:t>
        </w:r>
      </w:hyperlink>
      <w:r w:rsidRPr="00FD3DAE">
        <w:rPr>
          <w:rFonts w:cs="Arial"/>
          <w:sz w:val="20"/>
          <w:szCs w:val="20"/>
        </w:rPr>
        <w:t xml:space="preserve">. </w:t>
      </w:r>
    </w:p>
    <w:p w:rsidR="00FF5E4C" w:rsidRPr="00FD3DAE" w:rsidRDefault="00FF5E4C" w:rsidP="00FD3DAE">
      <w:pPr>
        <w:rPr>
          <w:rFonts w:cs="Arial"/>
          <w:sz w:val="20"/>
          <w:szCs w:val="20"/>
        </w:rPr>
      </w:pPr>
      <w:r w:rsidRPr="00FD3DAE">
        <w:rPr>
          <w:rFonts w:cs="Arial"/>
          <w:sz w:val="20"/>
          <w:szCs w:val="20"/>
        </w:rPr>
        <w:t xml:space="preserve">The WREZ Peer Analysis Tool works with data from the model and provides the </w:t>
      </w:r>
      <w:r w:rsidRPr="00FD3DAE">
        <w:rPr>
          <w:rFonts w:cs="Arial"/>
          <w:b/>
          <w:bCs/>
          <w:i/>
          <w:iCs/>
          <w:sz w:val="20"/>
          <w:szCs w:val="20"/>
        </w:rPr>
        <w:t>comparative</w:t>
      </w:r>
      <w:r w:rsidRPr="00FD3DAE">
        <w:rPr>
          <w:rFonts w:cs="Arial"/>
          <w:sz w:val="20"/>
          <w:szCs w:val="20"/>
        </w:rPr>
        <w:t xml:space="preserve"> information for all renewable zones simultaneously, while the WREZ (GTM) model itself provides only limited comparisons.  The Peer Analysis Tool assumes all new transmission is incremental.  No existing transmission is used and all new transmission paths are built along major existing paths. All transmission costs are fixed in this tool and are based on point-to-point routing (shortest distance).</w:t>
      </w:r>
    </w:p>
    <w:p w:rsidR="00FF5E4C" w:rsidRPr="00FD3DAE" w:rsidRDefault="00FF5E4C" w:rsidP="00FD3DAE">
      <w:pPr>
        <w:rPr>
          <w:rFonts w:cs="Arial"/>
          <w:b/>
          <w:sz w:val="20"/>
          <w:szCs w:val="20"/>
          <w:u w:val="single"/>
        </w:rPr>
      </w:pPr>
      <w:r w:rsidRPr="00FD3DAE">
        <w:rPr>
          <w:rFonts w:cs="Arial"/>
          <w:b/>
          <w:sz w:val="20"/>
          <w:szCs w:val="20"/>
          <w:u w:val="single"/>
        </w:rPr>
        <w:t>Describe the Effort:</w:t>
      </w:r>
    </w:p>
    <w:p w:rsidR="00FF5E4C" w:rsidRPr="00FD3DAE" w:rsidRDefault="00FF5E4C" w:rsidP="00FD3DAE">
      <w:pPr>
        <w:rPr>
          <w:rFonts w:cs="Arial"/>
          <w:sz w:val="20"/>
          <w:szCs w:val="20"/>
        </w:rPr>
      </w:pPr>
      <w:r w:rsidRPr="00FD3DAE">
        <w:rPr>
          <w:rFonts w:cs="Arial"/>
          <w:sz w:val="20"/>
          <w:szCs w:val="20"/>
        </w:rPr>
        <w:t xml:space="preserve">The results of aggregating wind capacity potential figures from the WREZ model for Oregon and Washington are below: </w:t>
      </w:r>
    </w:p>
    <w:p w:rsidR="00FF5E4C" w:rsidRPr="00FD3DAE" w:rsidRDefault="00FF5E4C" w:rsidP="00FD3DAE">
      <w:pPr>
        <w:rPr>
          <w:sz w:val="20"/>
          <w:szCs w:val="20"/>
        </w:rPr>
      </w:pPr>
      <w:r w:rsidRPr="00FD3DAE">
        <w:rPr>
          <w:sz w:val="20"/>
          <w:szCs w:val="20"/>
        </w:rPr>
        <w:t> </w:t>
      </w:r>
    </w:p>
    <w:tbl>
      <w:tblPr>
        <w:tblW w:w="4520" w:type="dxa"/>
        <w:jc w:val="center"/>
        <w:tblCellMar>
          <w:left w:w="0" w:type="dxa"/>
          <w:right w:w="0" w:type="dxa"/>
        </w:tblCellMar>
        <w:tblLook w:val="0000"/>
      </w:tblPr>
      <w:tblGrid>
        <w:gridCol w:w="2640"/>
        <w:gridCol w:w="1880"/>
      </w:tblGrid>
      <w:tr w:rsidR="00FF5E4C" w:rsidRPr="00FD3DAE" w:rsidTr="00FD3DAE">
        <w:trPr>
          <w:trHeight w:val="645"/>
          <w:jc w:val="center"/>
        </w:trPr>
        <w:tc>
          <w:tcPr>
            <w:tcW w:w="2640" w:type="dxa"/>
            <w:tcBorders>
              <w:top w:val="single" w:sz="8" w:space="0" w:color="auto"/>
              <w:left w:val="single" w:sz="8" w:space="0" w:color="auto"/>
              <w:bottom w:val="single" w:sz="8" w:space="0" w:color="auto"/>
              <w:right w:val="nil"/>
            </w:tcBorders>
            <w:shd w:val="clear" w:color="auto" w:fill="CCFFFF"/>
            <w:vAlign w:val="center"/>
          </w:tcPr>
          <w:p w:rsidR="00FF5E4C" w:rsidRPr="00FD3DAE" w:rsidRDefault="00FF5E4C" w:rsidP="00FD3DAE">
            <w:pPr>
              <w:jc w:val="center"/>
              <w:rPr>
                <w:sz w:val="20"/>
                <w:szCs w:val="20"/>
              </w:rPr>
            </w:pPr>
            <w:r w:rsidRPr="00FD3DAE">
              <w:rPr>
                <w:rStyle w:val="Strong"/>
                <w:rFonts w:cs="Arial"/>
                <w:sz w:val="20"/>
                <w:szCs w:val="20"/>
              </w:rPr>
              <w:t>Renewable Energy Zone</w:t>
            </w:r>
          </w:p>
        </w:tc>
        <w:tc>
          <w:tcPr>
            <w:tcW w:w="1880" w:type="dxa"/>
            <w:tcBorders>
              <w:top w:val="single" w:sz="8" w:space="0" w:color="auto"/>
              <w:left w:val="nil"/>
              <w:bottom w:val="single" w:sz="8" w:space="0" w:color="auto"/>
              <w:right w:val="single" w:sz="8" w:space="0" w:color="auto"/>
            </w:tcBorders>
            <w:shd w:val="clear" w:color="auto" w:fill="CCFFFF"/>
            <w:vAlign w:val="center"/>
          </w:tcPr>
          <w:p w:rsidR="00FF5E4C" w:rsidRPr="00FD3DAE" w:rsidRDefault="00FF5E4C" w:rsidP="00FD3DAE">
            <w:pPr>
              <w:jc w:val="center"/>
              <w:rPr>
                <w:sz w:val="20"/>
                <w:szCs w:val="20"/>
              </w:rPr>
            </w:pPr>
            <w:r w:rsidRPr="00FD3DAE">
              <w:rPr>
                <w:rStyle w:val="Strong"/>
                <w:rFonts w:cs="Arial"/>
                <w:sz w:val="20"/>
                <w:szCs w:val="20"/>
              </w:rPr>
              <w:t>Capacity Potential (MW)</w:t>
            </w:r>
          </w:p>
        </w:tc>
      </w:tr>
      <w:tr w:rsidR="00FF5E4C" w:rsidRPr="00FD3DAE" w:rsidTr="00FD3DAE">
        <w:trPr>
          <w:trHeight w:val="255"/>
          <w:jc w:val="center"/>
        </w:trPr>
        <w:tc>
          <w:tcPr>
            <w:tcW w:w="0" w:type="auto"/>
            <w:tcBorders>
              <w:top w:val="nil"/>
              <w:left w:val="single" w:sz="8" w:space="0" w:color="auto"/>
              <w:bottom w:val="nil"/>
              <w:right w:val="nil"/>
            </w:tcBorders>
            <w:vAlign w:val="center"/>
          </w:tcPr>
          <w:p w:rsidR="00FF5E4C" w:rsidRPr="00FD3DAE" w:rsidRDefault="00FF5E4C" w:rsidP="00FD3DAE">
            <w:pPr>
              <w:rPr>
                <w:sz w:val="20"/>
                <w:szCs w:val="20"/>
              </w:rPr>
            </w:pPr>
            <w:r w:rsidRPr="00FD3DAE">
              <w:rPr>
                <w:rFonts w:cs="Arial"/>
                <w:sz w:val="20"/>
                <w:szCs w:val="20"/>
              </w:rPr>
              <w:t>Oregon Northeast</w:t>
            </w:r>
          </w:p>
        </w:tc>
        <w:tc>
          <w:tcPr>
            <w:tcW w:w="0" w:type="auto"/>
            <w:tcBorders>
              <w:top w:val="nil"/>
              <w:left w:val="nil"/>
              <w:bottom w:val="nil"/>
              <w:right w:val="single" w:sz="8" w:space="0" w:color="auto"/>
            </w:tcBorders>
            <w:vAlign w:val="center"/>
          </w:tcPr>
          <w:p w:rsidR="00FF5E4C" w:rsidRPr="00FD3DAE" w:rsidRDefault="00FF5E4C" w:rsidP="00FD3DAE">
            <w:pPr>
              <w:rPr>
                <w:sz w:val="20"/>
                <w:szCs w:val="20"/>
              </w:rPr>
            </w:pPr>
            <w:r w:rsidRPr="00FD3DAE">
              <w:rPr>
                <w:rFonts w:cs="Arial"/>
                <w:sz w:val="20"/>
                <w:szCs w:val="20"/>
              </w:rPr>
              <w:t xml:space="preserve">                     2,048 </w:t>
            </w:r>
          </w:p>
        </w:tc>
      </w:tr>
      <w:tr w:rsidR="00FF5E4C" w:rsidRPr="00FD3DAE" w:rsidTr="00FD3DAE">
        <w:trPr>
          <w:trHeight w:val="255"/>
          <w:jc w:val="center"/>
        </w:trPr>
        <w:tc>
          <w:tcPr>
            <w:tcW w:w="0" w:type="auto"/>
            <w:tcBorders>
              <w:top w:val="nil"/>
              <w:left w:val="single" w:sz="8" w:space="0" w:color="auto"/>
              <w:bottom w:val="nil"/>
              <w:right w:val="nil"/>
            </w:tcBorders>
            <w:vAlign w:val="center"/>
          </w:tcPr>
          <w:p w:rsidR="00FF5E4C" w:rsidRPr="00FD3DAE" w:rsidRDefault="00FF5E4C" w:rsidP="00FD3DAE">
            <w:pPr>
              <w:rPr>
                <w:sz w:val="20"/>
                <w:szCs w:val="20"/>
              </w:rPr>
            </w:pPr>
            <w:r w:rsidRPr="00FD3DAE">
              <w:rPr>
                <w:rFonts w:cs="Arial"/>
                <w:sz w:val="20"/>
                <w:szCs w:val="20"/>
              </w:rPr>
              <w:t>Oregon South</w:t>
            </w:r>
          </w:p>
        </w:tc>
        <w:tc>
          <w:tcPr>
            <w:tcW w:w="0" w:type="auto"/>
            <w:tcBorders>
              <w:top w:val="nil"/>
              <w:left w:val="nil"/>
              <w:bottom w:val="nil"/>
              <w:right w:val="single" w:sz="8" w:space="0" w:color="auto"/>
            </w:tcBorders>
            <w:vAlign w:val="center"/>
          </w:tcPr>
          <w:p w:rsidR="00FF5E4C" w:rsidRPr="00FD3DAE" w:rsidRDefault="00FF5E4C" w:rsidP="00FD3DAE">
            <w:pPr>
              <w:rPr>
                <w:sz w:val="20"/>
                <w:szCs w:val="20"/>
              </w:rPr>
            </w:pPr>
            <w:r w:rsidRPr="00FD3DAE">
              <w:rPr>
                <w:rFonts w:cs="Arial"/>
                <w:sz w:val="20"/>
                <w:szCs w:val="20"/>
              </w:rPr>
              <w:t xml:space="preserve">                       521 </w:t>
            </w:r>
          </w:p>
        </w:tc>
      </w:tr>
      <w:tr w:rsidR="00FF5E4C" w:rsidRPr="00FD3DAE" w:rsidTr="00FD3DAE">
        <w:trPr>
          <w:trHeight w:val="255"/>
          <w:jc w:val="center"/>
        </w:trPr>
        <w:tc>
          <w:tcPr>
            <w:tcW w:w="0" w:type="auto"/>
            <w:tcBorders>
              <w:top w:val="nil"/>
              <w:left w:val="single" w:sz="8" w:space="0" w:color="auto"/>
              <w:bottom w:val="nil"/>
              <w:right w:val="nil"/>
            </w:tcBorders>
            <w:vAlign w:val="center"/>
          </w:tcPr>
          <w:p w:rsidR="00FF5E4C" w:rsidRPr="00FD3DAE" w:rsidRDefault="00FF5E4C" w:rsidP="00FD3DAE">
            <w:pPr>
              <w:rPr>
                <w:sz w:val="20"/>
                <w:szCs w:val="20"/>
              </w:rPr>
            </w:pPr>
            <w:r w:rsidRPr="00FD3DAE">
              <w:rPr>
                <w:rFonts w:cs="Arial"/>
                <w:sz w:val="20"/>
                <w:szCs w:val="20"/>
              </w:rPr>
              <w:t>Oregon West</w:t>
            </w:r>
          </w:p>
        </w:tc>
        <w:tc>
          <w:tcPr>
            <w:tcW w:w="0" w:type="auto"/>
            <w:tcBorders>
              <w:top w:val="nil"/>
              <w:left w:val="nil"/>
              <w:bottom w:val="nil"/>
              <w:right w:val="single" w:sz="8" w:space="0" w:color="auto"/>
            </w:tcBorders>
            <w:vAlign w:val="center"/>
          </w:tcPr>
          <w:p w:rsidR="00FF5E4C" w:rsidRPr="00FD3DAE" w:rsidRDefault="00FF5E4C" w:rsidP="00FD3DAE">
            <w:pPr>
              <w:rPr>
                <w:sz w:val="20"/>
                <w:szCs w:val="20"/>
              </w:rPr>
            </w:pPr>
            <w:r w:rsidRPr="00FD3DAE">
              <w:rPr>
                <w:rFonts w:cs="Arial"/>
                <w:sz w:val="20"/>
                <w:szCs w:val="20"/>
              </w:rPr>
              <w:t xml:space="preserve">                       343 </w:t>
            </w:r>
          </w:p>
        </w:tc>
      </w:tr>
      <w:tr w:rsidR="00FF5E4C" w:rsidRPr="00FD3DAE" w:rsidTr="00FD3DAE">
        <w:trPr>
          <w:trHeight w:val="270"/>
          <w:jc w:val="center"/>
        </w:trPr>
        <w:tc>
          <w:tcPr>
            <w:tcW w:w="0" w:type="auto"/>
            <w:tcBorders>
              <w:top w:val="nil"/>
              <w:left w:val="single" w:sz="8" w:space="0" w:color="auto"/>
              <w:bottom w:val="double" w:sz="6" w:space="0" w:color="auto"/>
              <w:right w:val="nil"/>
            </w:tcBorders>
            <w:vAlign w:val="center"/>
          </w:tcPr>
          <w:p w:rsidR="00FF5E4C" w:rsidRPr="00FD3DAE" w:rsidRDefault="00FF5E4C" w:rsidP="00FD3DAE">
            <w:pPr>
              <w:rPr>
                <w:sz w:val="20"/>
                <w:szCs w:val="20"/>
              </w:rPr>
            </w:pPr>
            <w:r w:rsidRPr="00FD3DAE">
              <w:rPr>
                <w:rFonts w:cs="Arial"/>
                <w:sz w:val="20"/>
                <w:szCs w:val="20"/>
              </w:rPr>
              <w:t>Washington South</w:t>
            </w:r>
          </w:p>
        </w:tc>
        <w:tc>
          <w:tcPr>
            <w:tcW w:w="0" w:type="auto"/>
            <w:tcBorders>
              <w:top w:val="nil"/>
              <w:left w:val="nil"/>
              <w:bottom w:val="double" w:sz="6" w:space="0" w:color="auto"/>
              <w:right w:val="single" w:sz="8" w:space="0" w:color="auto"/>
            </w:tcBorders>
            <w:vAlign w:val="center"/>
          </w:tcPr>
          <w:p w:rsidR="00FF5E4C" w:rsidRPr="00FD3DAE" w:rsidRDefault="00FF5E4C" w:rsidP="00FD3DAE">
            <w:pPr>
              <w:rPr>
                <w:sz w:val="20"/>
                <w:szCs w:val="20"/>
              </w:rPr>
            </w:pPr>
            <w:r w:rsidRPr="00FD3DAE">
              <w:rPr>
                <w:rFonts w:cs="Arial"/>
                <w:sz w:val="20"/>
                <w:szCs w:val="20"/>
              </w:rPr>
              <w:t xml:space="preserve">                     3,262 </w:t>
            </w:r>
          </w:p>
        </w:tc>
      </w:tr>
      <w:tr w:rsidR="00FF5E4C" w:rsidRPr="00FD3DAE" w:rsidTr="00FD3DAE">
        <w:trPr>
          <w:trHeight w:val="285"/>
          <w:jc w:val="center"/>
        </w:trPr>
        <w:tc>
          <w:tcPr>
            <w:tcW w:w="0" w:type="auto"/>
            <w:tcBorders>
              <w:top w:val="nil"/>
              <w:left w:val="single" w:sz="8" w:space="0" w:color="auto"/>
              <w:bottom w:val="single" w:sz="8" w:space="0" w:color="auto"/>
              <w:right w:val="nil"/>
            </w:tcBorders>
            <w:vAlign w:val="center"/>
          </w:tcPr>
          <w:p w:rsidR="00FF5E4C" w:rsidRPr="00FD3DAE" w:rsidRDefault="00FF5E4C" w:rsidP="00FD3DAE">
            <w:pPr>
              <w:rPr>
                <w:sz w:val="20"/>
                <w:szCs w:val="20"/>
              </w:rPr>
            </w:pPr>
            <w:r w:rsidRPr="00FD3DAE">
              <w:rPr>
                <w:rFonts w:cs="Arial"/>
                <w:sz w:val="20"/>
                <w:szCs w:val="20"/>
              </w:rPr>
              <w:t>Total</w:t>
            </w:r>
          </w:p>
        </w:tc>
        <w:tc>
          <w:tcPr>
            <w:tcW w:w="0" w:type="auto"/>
            <w:tcBorders>
              <w:top w:val="nil"/>
              <w:left w:val="nil"/>
              <w:bottom w:val="single" w:sz="8" w:space="0" w:color="auto"/>
              <w:right w:val="single" w:sz="8" w:space="0" w:color="auto"/>
            </w:tcBorders>
            <w:vAlign w:val="center"/>
          </w:tcPr>
          <w:p w:rsidR="00FF5E4C" w:rsidRPr="00FD3DAE" w:rsidRDefault="00FF5E4C" w:rsidP="00FD3DAE">
            <w:pPr>
              <w:rPr>
                <w:sz w:val="20"/>
                <w:szCs w:val="20"/>
              </w:rPr>
            </w:pPr>
            <w:r w:rsidRPr="00FD3DAE">
              <w:rPr>
                <w:rFonts w:cs="Arial"/>
                <w:sz w:val="20"/>
                <w:szCs w:val="20"/>
              </w:rPr>
              <w:t xml:space="preserve">                     6,175 </w:t>
            </w:r>
          </w:p>
        </w:tc>
      </w:tr>
    </w:tbl>
    <w:p w:rsidR="00FF5E4C" w:rsidRPr="00FD3DAE" w:rsidRDefault="00FF5E4C" w:rsidP="00FD3DAE">
      <w:pPr>
        <w:rPr>
          <w:color w:val="0000FF"/>
          <w:sz w:val="20"/>
          <w:szCs w:val="20"/>
        </w:rPr>
      </w:pPr>
      <w:r w:rsidRPr="00FD3DAE">
        <w:rPr>
          <w:color w:val="0000FF"/>
          <w:sz w:val="20"/>
          <w:szCs w:val="20"/>
        </w:rPr>
        <w:t> </w:t>
      </w:r>
    </w:p>
    <w:p w:rsidR="00FF5E4C" w:rsidRPr="00FD3DAE" w:rsidRDefault="00FF5E4C" w:rsidP="00FD3DAE">
      <w:pPr>
        <w:autoSpaceDE w:val="0"/>
        <w:autoSpaceDN w:val="0"/>
        <w:adjustRightInd w:val="0"/>
        <w:rPr>
          <w:rFonts w:cs="Arial"/>
          <w:sz w:val="20"/>
          <w:szCs w:val="20"/>
        </w:rPr>
      </w:pPr>
      <w:r w:rsidRPr="00FD3DAE">
        <w:rPr>
          <w:rFonts w:cs="Arial"/>
          <w:sz w:val="20"/>
          <w:szCs w:val="20"/>
        </w:rPr>
        <w:t>The assessment of potential wind resources in WA/OR was based on large scale wind power maps from NREL.  NREL wind power class 3 was assumed to be an appropriate overall minimum wind power threshold that could be cost-effectively developed on a utility scale, although higher minimum wind power class thresholds were applied to wind resources in different states.  For the WREZ model, potential wind resource totals were discounted by 75 percent to account for unknown develop ability constraints. This discount factor was agreed upon by the ZITA group stakeholders as representative of experience in the wind industry.  Of the 6,175 MW of capacity identified in WA/OR, most of that capacity was rated as class 3.</w:t>
      </w:r>
    </w:p>
    <w:p w:rsidR="00FF5E4C" w:rsidRPr="00FD3DAE" w:rsidRDefault="00FF5E4C" w:rsidP="00FD3DAE">
      <w:pPr>
        <w:autoSpaceDE w:val="0"/>
        <w:autoSpaceDN w:val="0"/>
        <w:adjustRightInd w:val="0"/>
        <w:rPr>
          <w:rFonts w:cs="Arial"/>
          <w:sz w:val="20"/>
          <w:szCs w:val="20"/>
        </w:rPr>
      </w:pPr>
    </w:p>
    <w:p w:rsidR="00FF5E4C" w:rsidRPr="00FD3DAE" w:rsidRDefault="00FF5E4C" w:rsidP="00FD3DAE">
      <w:pPr>
        <w:autoSpaceDE w:val="0"/>
        <w:autoSpaceDN w:val="0"/>
        <w:adjustRightInd w:val="0"/>
        <w:rPr>
          <w:rFonts w:cs="Arial"/>
          <w:sz w:val="20"/>
          <w:szCs w:val="20"/>
        </w:rPr>
      </w:pPr>
      <w:r w:rsidRPr="00FD3DAE">
        <w:rPr>
          <w:rFonts w:cs="Arial"/>
          <w:sz w:val="20"/>
          <w:szCs w:val="20"/>
        </w:rPr>
        <w:t>An additional 13,794 MW of OR/WA wind (minimum class 3) was identified as a non-WREZ resource.  These resources were determined to be of lower quality or located outside renewable zones.</w:t>
      </w:r>
    </w:p>
    <w:p w:rsidR="00FF5E4C" w:rsidRPr="00FD3DAE" w:rsidRDefault="00FF5E4C" w:rsidP="00FD3DAE">
      <w:pPr>
        <w:autoSpaceDE w:val="0"/>
        <w:autoSpaceDN w:val="0"/>
        <w:adjustRightInd w:val="0"/>
        <w:rPr>
          <w:rFonts w:cs="Arial"/>
          <w:sz w:val="20"/>
          <w:szCs w:val="20"/>
        </w:rPr>
      </w:pPr>
      <w:r w:rsidRPr="00FD3DAE">
        <w:rPr>
          <w:rFonts w:cs="Arial"/>
          <w:sz w:val="20"/>
          <w:szCs w:val="20"/>
        </w:rPr>
        <w:t>In an analysis done by Energy Strategies, the total wind energy potential between states in the western United States, wind potential data from the RETI (California) study was used first, and in the case of those states outside the scope of the RETI study, NREL’s data set for the Wind Deployment System (Wind DS) was used.</w:t>
      </w:r>
    </w:p>
    <w:p w:rsidR="00FF5E4C" w:rsidRPr="00FD3DAE" w:rsidRDefault="00FF5E4C" w:rsidP="00FD3DAE">
      <w:pPr>
        <w:autoSpaceDE w:val="0"/>
        <w:autoSpaceDN w:val="0"/>
        <w:adjustRightInd w:val="0"/>
        <w:rPr>
          <w:rFonts w:cs="Arial"/>
          <w:sz w:val="20"/>
          <w:szCs w:val="20"/>
        </w:rPr>
      </w:pPr>
      <w:r w:rsidRPr="00FD3DAE">
        <w:rPr>
          <w:rFonts w:cs="Arial"/>
          <w:sz w:val="20"/>
          <w:szCs w:val="20"/>
        </w:rPr>
        <w:t xml:space="preserve">Their estimates show 16,770 MW of developable wind capacity in WA/OR.  This estimate is based on the above data sources rankings of wind at and above class 4.  </w:t>
      </w:r>
    </w:p>
    <w:p w:rsidR="00FF5E4C" w:rsidRPr="00FD3DAE" w:rsidRDefault="00FF5E4C" w:rsidP="00FD3DAE">
      <w:pPr>
        <w:autoSpaceDE w:val="0"/>
        <w:autoSpaceDN w:val="0"/>
        <w:adjustRightInd w:val="0"/>
        <w:rPr>
          <w:rFonts w:cs="Arial"/>
          <w:sz w:val="20"/>
          <w:szCs w:val="20"/>
        </w:rPr>
      </w:pPr>
      <w:r w:rsidRPr="00FD3DAE">
        <w:rPr>
          <w:rFonts w:cs="Arial"/>
          <w:sz w:val="20"/>
          <w:szCs w:val="20"/>
        </w:rPr>
        <w:t>The major difference in findings appears to be related to the 75 percent discounting in the WREZ model to account for unknown develop ability constraints.</w:t>
      </w:r>
    </w:p>
    <w:p w:rsidR="00FF5E4C" w:rsidRPr="00FD3DAE" w:rsidRDefault="00FF5E4C" w:rsidP="00FD3DAE">
      <w:pPr>
        <w:autoSpaceDE w:val="0"/>
        <w:autoSpaceDN w:val="0"/>
        <w:adjustRightInd w:val="0"/>
        <w:rPr>
          <w:rFonts w:cs="Arial"/>
          <w:sz w:val="20"/>
          <w:szCs w:val="20"/>
        </w:rPr>
      </w:pPr>
      <w:hyperlink r:id="rId72" w:history="1">
        <w:r w:rsidRPr="00FD3DAE">
          <w:rPr>
            <w:rStyle w:val="Hyperlink"/>
            <w:rFonts w:cs="Arial"/>
            <w:sz w:val="20"/>
            <w:szCs w:val="20"/>
          </w:rPr>
          <w:t>http://www.portstoplains.com/PTP_News/Montana_Wind_Report_February_2010_Final.pdf</w:t>
        </w:r>
      </w:hyperlink>
    </w:p>
    <w:p w:rsidR="00FF5E4C" w:rsidRPr="00FD3DAE" w:rsidRDefault="00FF5E4C" w:rsidP="00FD3DAE">
      <w:pPr>
        <w:rPr>
          <w:rFonts w:cs="Arial"/>
          <w:b/>
          <w:sz w:val="20"/>
          <w:szCs w:val="20"/>
          <w:u w:val="single"/>
        </w:rPr>
      </w:pPr>
      <w:r w:rsidRPr="00FD3DAE">
        <w:rPr>
          <w:rFonts w:cs="Arial"/>
          <w:b/>
          <w:sz w:val="20"/>
          <w:szCs w:val="20"/>
          <w:u w:val="single"/>
        </w:rPr>
        <w:t>Conclusions of the Study:</w:t>
      </w:r>
    </w:p>
    <w:p w:rsidR="00FF5E4C" w:rsidRPr="00FD3DAE" w:rsidRDefault="00FF5E4C" w:rsidP="00FD3DAE">
      <w:pPr>
        <w:rPr>
          <w:sz w:val="20"/>
          <w:szCs w:val="20"/>
        </w:rPr>
      </w:pPr>
      <w:r w:rsidRPr="00FD3DAE">
        <w:rPr>
          <w:rFonts w:cs="Arial"/>
          <w:sz w:val="20"/>
          <w:szCs w:val="20"/>
        </w:rPr>
        <w:t>Based on Ventyx Velocity Suite data, the wind potential in WA/OR used in the WREZ model has been nearly exhausted by operational projects and those under construction and undergoing permitting efforts:</w:t>
      </w:r>
    </w:p>
    <w:p w:rsidR="00FF5E4C" w:rsidRPr="00FD3DAE" w:rsidRDefault="00FF5E4C" w:rsidP="00FD3DAE">
      <w:pPr>
        <w:rPr>
          <w:color w:val="0000FF"/>
          <w:sz w:val="20"/>
          <w:szCs w:val="20"/>
        </w:rPr>
      </w:pPr>
      <w:r w:rsidRPr="00FD3DAE">
        <w:rPr>
          <w:color w:val="0000FF"/>
          <w:sz w:val="20"/>
          <w:szCs w:val="20"/>
        </w:rPr>
        <w:t> </w:t>
      </w:r>
    </w:p>
    <w:tbl>
      <w:tblPr>
        <w:tblW w:w="4520" w:type="dxa"/>
        <w:jc w:val="center"/>
        <w:tblCellMar>
          <w:left w:w="0" w:type="dxa"/>
          <w:right w:w="0" w:type="dxa"/>
        </w:tblCellMar>
        <w:tblLook w:val="0000"/>
      </w:tblPr>
      <w:tblGrid>
        <w:gridCol w:w="2640"/>
        <w:gridCol w:w="1880"/>
      </w:tblGrid>
      <w:tr w:rsidR="00FF5E4C" w:rsidRPr="00FD3DAE" w:rsidTr="00FD3DAE">
        <w:trPr>
          <w:trHeight w:val="465"/>
          <w:jc w:val="center"/>
        </w:trPr>
        <w:tc>
          <w:tcPr>
            <w:tcW w:w="2640" w:type="dxa"/>
            <w:tcBorders>
              <w:top w:val="single" w:sz="8" w:space="0" w:color="auto"/>
              <w:left w:val="single" w:sz="8" w:space="0" w:color="auto"/>
              <w:bottom w:val="single" w:sz="8" w:space="0" w:color="auto"/>
              <w:right w:val="nil"/>
            </w:tcBorders>
            <w:shd w:val="clear" w:color="auto" w:fill="CCFFFF"/>
            <w:vAlign w:val="center"/>
          </w:tcPr>
          <w:p w:rsidR="00FF5E4C" w:rsidRPr="00FD3DAE" w:rsidRDefault="00FF5E4C" w:rsidP="00FD3DAE">
            <w:pPr>
              <w:jc w:val="center"/>
              <w:rPr>
                <w:sz w:val="20"/>
                <w:szCs w:val="20"/>
              </w:rPr>
            </w:pPr>
            <w:r w:rsidRPr="00FD3DAE">
              <w:rPr>
                <w:rStyle w:val="Strong"/>
                <w:rFonts w:cs="Arial"/>
                <w:sz w:val="20"/>
                <w:szCs w:val="20"/>
              </w:rPr>
              <w:t>In WA/OR:</w:t>
            </w:r>
          </w:p>
        </w:tc>
        <w:tc>
          <w:tcPr>
            <w:tcW w:w="1880" w:type="dxa"/>
            <w:tcBorders>
              <w:top w:val="single" w:sz="8" w:space="0" w:color="auto"/>
              <w:left w:val="nil"/>
              <w:bottom w:val="single" w:sz="8" w:space="0" w:color="auto"/>
              <w:right w:val="single" w:sz="8" w:space="0" w:color="auto"/>
            </w:tcBorders>
            <w:shd w:val="clear" w:color="auto" w:fill="CCFFFF"/>
            <w:vAlign w:val="center"/>
          </w:tcPr>
          <w:p w:rsidR="00FF5E4C" w:rsidRPr="00FD3DAE" w:rsidRDefault="00FF5E4C" w:rsidP="00FD3DAE">
            <w:pPr>
              <w:jc w:val="center"/>
              <w:rPr>
                <w:sz w:val="20"/>
                <w:szCs w:val="20"/>
              </w:rPr>
            </w:pPr>
            <w:r w:rsidRPr="00FD3DAE">
              <w:rPr>
                <w:rStyle w:val="Strong"/>
                <w:rFonts w:cs="Arial"/>
                <w:sz w:val="20"/>
                <w:szCs w:val="20"/>
              </w:rPr>
              <w:t>(MW)</w:t>
            </w:r>
          </w:p>
        </w:tc>
      </w:tr>
      <w:tr w:rsidR="00FF5E4C" w:rsidRPr="00FD3DAE" w:rsidTr="00FD3DAE">
        <w:trPr>
          <w:trHeight w:val="255"/>
          <w:jc w:val="center"/>
        </w:trPr>
        <w:tc>
          <w:tcPr>
            <w:tcW w:w="0" w:type="auto"/>
            <w:tcBorders>
              <w:top w:val="nil"/>
              <w:left w:val="single" w:sz="8" w:space="0" w:color="auto"/>
              <w:bottom w:val="nil"/>
              <w:right w:val="nil"/>
            </w:tcBorders>
            <w:vAlign w:val="center"/>
          </w:tcPr>
          <w:p w:rsidR="00FF5E4C" w:rsidRPr="00FD3DAE" w:rsidRDefault="00FF5E4C" w:rsidP="00FD3DAE">
            <w:pPr>
              <w:rPr>
                <w:sz w:val="20"/>
                <w:szCs w:val="20"/>
              </w:rPr>
            </w:pPr>
            <w:r w:rsidRPr="00FD3DAE">
              <w:rPr>
                <w:rFonts w:cs="Arial"/>
                <w:sz w:val="20"/>
                <w:szCs w:val="20"/>
              </w:rPr>
              <w:t>Operational</w:t>
            </w:r>
          </w:p>
        </w:tc>
        <w:tc>
          <w:tcPr>
            <w:tcW w:w="0" w:type="auto"/>
            <w:tcBorders>
              <w:top w:val="nil"/>
              <w:left w:val="nil"/>
              <w:bottom w:val="nil"/>
              <w:right w:val="single" w:sz="8" w:space="0" w:color="auto"/>
            </w:tcBorders>
            <w:vAlign w:val="center"/>
          </w:tcPr>
          <w:p w:rsidR="00FF5E4C" w:rsidRPr="00FD3DAE" w:rsidRDefault="00FF5E4C" w:rsidP="00FD3DAE">
            <w:pPr>
              <w:rPr>
                <w:sz w:val="20"/>
                <w:szCs w:val="20"/>
              </w:rPr>
            </w:pPr>
            <w:r w:rsidRPr="00FD3DAE">
              <w:rPr>
                <w:rFonts w:cs="Arial"/>
                <w:sz w:val="20"/>
                <w:szCs w:val="20"/>
              </w:rPr>
              <w:t xml:space="preserve">                     3,300 </w:t>
            </w:r>
          </w:p>
        </w:tc>
      </w:tr>
      <w:tr w:rsidR="00FF5E4C" w:rsidRPr="00FD3DAE" w:rsidTr="00FD3DAE">
        <w:trPr>
          <w:trHeight w:val="255"/>
          <w:jc w:val="center"/>
        </w:trPr>
        <w:tc>
          <w:tcPr>
            <w:tcW w:w="0" w:type="auto"/>
            <w:tcBorders>
              <w:top w:val="nil"/>
              <w:left w:val="single" w:sz="8" w:space="0" w:color="auto"/>
              <w:bottom w:val="nil"/>
              <w:right w:val="nil"/>
            </w:tcBorders>
            <w:vAlign w:val="center"/>
          </w:tcPr>
          <w:p w:rsidR="00FF5E4C" w:rsidRPr="00FD3DAE" w:rsidRDefault="00FF5E4C" w:rsidP="00FD3DAE">
            <w:pPr>
              <w:rPr>
                <w:sz w:val="20"/>
                <w:szCs w:val="20"/>
              </w:rPr>
            </w:pPr>
            <w:r w:rsidRPr="00FD3DAE">
              <w:rPr>
                <w:rFonts w:cs="Arial"/>
                <w:sz w:val="20"/>
                <w:szCs w:val="20"/>
              </w:rPr>
              <w:t>Under Construction </w:t>
            </w:r>
          </w:p>
        </w:tc>
        <w:tc>
          <w:tcPr>
            <w:tcW w:w="0" w:type="auto"/>
            <w:tcBorders>
              <w:top w:val="nil"/>
              <w:left w:val="nil"/>
              <w:bottom w:val="nil"/>
              <w:right w:val="single" w:sz="8" w:space="0" w:color="auto"/>
            </w:tcBorders>
            <w:vAlign w:val="center"/>
          </w:tcPr>
          <w:p w:rsidR="00FF5E4C" w:rsidRPr="00FD3DAE" w:rsidRDefault="00FF5E4C" w:rsidP="00FD3DAE">
            <w:pPr>
              <w:rPr>
                <w:sz w:val="20"/>
                <w:szCs w:val="20"/>
              </w:rPr>
            </w:pPr>
            <w:r w:rsidRPr="00FD3DAE">
              <w:rPr>
                <w:rFonts w:cs="Arial"/>
                <w:sz w:val="20"/>
                <w:szCs w:val="20"/>
              </w:rPr>
              <w:t xml:space="preserve">                       800 </w:t>
            </w:r>
          </w:p>
        </w:tc>
      </w:tr>
      <w:tr w:rsidR="00FF5E4C" w:rsidRPr="00FD3DAE" w:rsidTr="00FD3DAE">
        <w:trPr>
          <w:trHeight w:val="255"/>
          <w:jc w:val="center"/>
        </w:trPr>
        <w:tc>
          <w:tcPr>
            <w:tcW w:w="0" w:type="auto"/>
            <w:tcBorders>
              <w:top w:val="nil"/>
              <w:left w:val="single" w:sz="8" w:space="0" w:color="auto"/>
              <w:bottom w:val="nil"/>
              <w:right w:val="nil"/>
            </w:tcBorders>
            <w:vAlign w:val="center"/>
          </w:tcPr>
          <w:p w:rsidR="00FF5E4C" w:rsidRPr="00FD3DAE" w:rsidRDefault="00FF5E4C" w:rsidP="00FD3DAE">
            <w:pPr>
              <w:rPr>
                <w:sz w:val="20"/>
                <w:szCs w:val="20"/>
              </w:rPr>
            </w:pPr>
            <w:r w:rsidRPr="00FD3DAE">
              <w:rPr>
                <w:rFonts w:cs="Arial"/>
                <w:sz w:val="20"/>
                <w:szCs w:val="20"/>
              </w:rPr>
              <w:t>Permitted</w:t>
            </w:r>
          </w:p>
        </w:tc>
        <w:tc>
          <w:tcPr>
            <w:tcW w:w="0" w:type="auto"/>
            <w:tcBorders>
              <w:top w:val="nil"/>
              <w:left w:val="nil"/>
              <w:bottom w:val="nil"/>
              <w:right w:val="single" w:sz="8" w:space="0" w:color="auto"/>
            </w:tcBorders>
            <w:vAlign w:val="center"/>
          </w:tcPr>
          <w:p w:rsidR="00FF5E4C" w:rsidRPr="00FD3DAE" w:rsidRDefault="00FF5E4C" w:rsidP="00FD3DAE">
            <w:pPr>
              <w:rPr>
                <w:sz w:val="20"/>
                <w:szCs w:val="20"/>
              </w:rPr>
            </w:pPr>
            <w:r w:rsidRPr="00FD3DAE">
              <w:rPr>
                <w:rFonts w:cs="Arial"/>
                <w:sz w:val="20"/>
                <w:szCs w:val="20"/>
              </w:rPr>
              <w:t xml:space="preserve">                     1,800 </w:t>
            </w:r>
          </w:p>
        </w:tc>
      </w:tr>
      <w:tr w:rsidR="00FF5E4C" w:rsidRPr="00FD3DAE" w:rsidTr="00FD3DAE">
        <w:trPr>
          <w:trHeight w:val="270"/>
          <w:jc w:val="center"/>
        </w:trPr>
        <w:tc>
          <w:tcPr>
            <w:tcW w:w="0" w:type="auto"/>
            <w:tcBorders>
              <w:top w:val="nil"/>
              <w:left w:val="single" w:sz="8" w:space="0" w:color="auto"/>
              <w:bottom w:val="double" w:sz="6" w:space="0" w:color="auto"/>
              <w:right w:val="nil"/>
            </w:tcBorders>
            <w:vAlign w:val="center"/>
          </w:tcPr>
          <w:p w:rsidR="00FF5E4C" w:rsidRPr="00FD3DAE" w:rsidRDefault="00FF5E4C" w:rsidP="00FD3DAE">
            <w:pPr>
              <w:rPr>
                <w:sz w:val="20"/>
                <w:szCs w:val="20"/>
              </w:rPr>
            </w:pPr>
            <w:r w:rsidRPr="00FD3DAE">
              <w:rPr>
                <w:rFonts w:cs="Arial"/>
                <w:sz w:val="20"/>
                <w:szCs w:val="20"/>
              </w:rPr>
              <w:t>Proposed</w:t>
            </w:r>
          </w:p>
        </w:tc>
        <w:tc>
          <w:tcPr>
            <w:tcW w:w="0" w:type="auto"/>
            <w:tcBorders>
              <w:top w:val="nil"/>
              <w:left w:val="nil"/>
              <w:bottom w:val="double" w:sz="6" w:space="0" w:color="auto"/>
              <w:right w:val="single" w:sz="8" w:space="0" w:color="auto"/>
            </w:tcBorders>
            <w:vAlign w:val="center"/>
          </w:tcPr>
          <w:p w:rsidR="00FF5E4C" w:rsidRPr="00FD3DAE" w:rsidRDefault="00FF5E4C" w:rsidP="00FD3DAE">
            <w:pPr>
              <w:rPr>
                <w:sz w:val="20"/>
                <w:szCs w:val="20"/>
              </w:rPr>
            </w:pPr>
            <w:r w:rsidRPr="00FD3DAE">
              <w:rPr>
                <w:rFonts w:cs="Arial"/>
                <w:sz w:val="20"/>
                <w:szCs w:val="20"/>
              </w:rPr>
              <w:t xml:space="preserve">                     3,150 </w:t>
            </w:r>
          </w:p>
        </w:tc>
      </w:tr>
      <w:tr w:rsidR="00FF5E4C" w:rsidRPr="00FD3DAE" w:rsidTr="00FD3DAE">
        <w:trPr>
          <w:trHeight w:val="285"/>
          <w:jc w:val="center"/>
        </w:trPr>
        <w:tc>
          <w:tcPr>
            <w:tcW w:w="0" w:type="auto"/>
            <w:tcBorders>
              <w:top w:val="nil"/>
              <w:left w:val="single" w:sz="8" w:space="0" w:color="auto"/>
              <w:bottom w:val="single" w:sz="8" w:space="0" w:color="auto"/>
              <w:right w:val="nil"/>
            </w:tcBorders>
            <w:vAlign w:val="center"/>
          </w:tcPr>
          <w:p w:rsidR="00FF5E4C" w:rsidRPr="00FD3DAE" w:rsidRDefault="00FF5E4C" w:rsidP="00FD3DAE">
            <w:pPr>
              <w:rPr>
                <w:sz w:val="20"/>
                <w:szCs w:val="20"/>
              </w:rPr>
            </w:pPr>
            <w:r w:rsidRPr="00FD3DAE">
              <w:rPr>
                <w:rFonts w:cs="Arial"/>
                <w:sz w:val="20"/>
                <w:szCs w:val="20"/>
              </w:rPr>
              <w:t>Total</w:t>
            </w:r>
          </w:p>
        </w:tc>
        <w:tc>
          <w:tcPr>
            <w:tcW w:w="0" w:type="auto"/>
            <w:tcBorders>
              <w:top w:val="nil"/>
              <w:left w:val="nil"/>
              <w:bottom w:val="single" w:sz="8" w:space="0" w:color="auto"/>
              <w:right w:val="single" w:sz="8" w:space="0" w:color="auto"/>
            </w:tcBorders>
            <w:vAlign w:val="center"/>
          </w:tcPr>
          <w:p w:rsidR="00FF5E4C" w:rsidRPr="00FD3DAE" w:rsidRDefault="00FF5E4C" w:rsidP="00FD3DAE">
            <w:pPr>
              <w:rPr>
                <w:sz w:val="20"/>
                <w:szCs w:val="20"/>
              </w:rPr>
            </w:pPr>
            <w:r w:rsidRPr="00FD3DAE">
              <w:rPr>
                <w:rFonts w:cs="Arial"/>
                <w:sz w:val="20"/>
                <w:szCs w:val="20"/>
              </w:rPr>
              <w:t xml:space="preserve">                     9,050 </w:t>
            </w:r>
          </w:p>
        </w:tc>
      </w:tr>
    </w:tbl>
    <w:p w:rsidR="00FF5E4C" w:rsidRPr="00FD3DAE" w:rsidRDefault="00FF5E4C" w:rsidP="00FD3DAE">
      <w:pPr>
        <w:rPr>
          <w:sz w:val="20"/>
          <w:szCs w:val="20"/>
        </w:rPr>
      </w:pPr>
    </w:p>
    <w:p w:rsidR="00FF5E4C" w:rsidRPr="00FD3DAE" w:rsidRDefault="00FF5E4C" w:rsidP="00FD3DAE">
      <w:pPr>
        <w:rPr>
          <w:rFonts w:cs="Arial"/>
          <w:b/>
          <w:sz w:val="20"/>
          <w:szCs w:val="20"/>
          <w:u w:val="single"/>
        </w:rPr>
      </w:pPr>
      <w:r w:rsidRPr="00FD3DAE">
        <w:rPr>
          <w:rFonts w:cs="Arial"/>
          <w:b/>
          <w:sz w:val="20"/>
          <w:szCs w:val="20"/>
          <w:u w:val="single"/>
        </w:rPr>
        <w:t>Future work that should be done:</w:t>
      </w:r>
    </w:p>
    <w:p w:rsidR="00FF5E4C" w:rsidRPr="00FD3DAE" w:rsidRDefault="00FF5E4C" w:rsidP="00FD3DAE">
      <w:pPr>
        <w:rPr>
          <w:rFonts w:cs="Arial"/>
          <w:sz w:val="20"/>
          <w:szCs w:val="20"/>
        </w:rPr>
      </w:pPr>
      <w:r w:rsidRPr="00FD3DAE">
        <w:rPr>
          <w:rFonts w:cs="Arial"/>
          <w:sz w:val="20"/>
          <w:szCs w:val="20"/>
        </w:rPr>
        <w:t xml:space="preserve">It may be necessary for the developers of the WREZ model to reevaluate the wind capacity potentials that are used in the WREZ models for zones in Washington and Oregon. </w:t>
      </w:r>
    </w:p>
    <w:p w:rsidR="00FF5E4C" w:rsidRDefault="00FF5E4C" w:rsidP="005227C2">
      <w:pPr>
        <w:pStyle w:val="NoSpacing"/>
      </w:pPr>
    </w:p>
    <w:p w:rsidR="00FF5E4C" w:rsidRPr="009F3361" w:rsidRDefault="00FF5E4C" w:rsidP="004777ED">
      <w:pPr>
        <w:pStyle w:val="ListParagraph"/>
        <w:ind w:left="0"/>
        <w:rPr>
          <w:rFonts w:cs="Calibri"/>
          <w:color w:val="000000"/>
        </w:rPr>
      </w:pPr>
    </w:p>
    <w:p w:rsidR="00FF5E4C" w:rsidRPr="009F3361" w:rsidRDefault="00FF5E4C" w:rsidP="00AF678D">
      <w:pPr>
        <w:pStyle w:val="Heading2"/>
        <w:numPr>
          <w:ilvl w:val="0"/>
          <w:numId w:val="0"/>
        </w:numPr>
        <w:ind w:left="720"/>
        <w:rPr>
          <w:rFonts w:cs="Calibri"/>
          <w:color w:val="000000"/>
        </w:rPr>
      </w:pPr>
    </w:p>
    <w:sectPr w:rsidR="00FF5E4C" w:rsidRPr="009F3361" w:rsidSect="007207FC">
      <w:footerReference w:type="even" r:id="rId73"/>
      <w:footerReference w:type="default" r:id="rId7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E4C" w:rsidRDefault="00FF5E4C" w:rsidP="00062E8E">
      <w:pPr>
        <w:spacing w:after="0" w:line="240" w:lineRule="auto"/>
      </w:pPr>
      <w:r>
        <w:separator/>
      </w:r>
    </w:p>
  </w:endnote>
  <w:endnote w:type="continuationSeparator" w:id="0">
    <w:p w:rsidR="00FF5E4C" w:rsidRDefault="00FF5E4C" w:rsidP="00062E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4C" w:rsidRDefault="00FF5E4C" w:rsidP="00FD27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5E4C" w:rsidRDefault="00FF5E4C" w:rsidP="00FD27E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4C" w:rsidRDefault="00FF5E4C" w:rsidP="00FD27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5E4C" w:rsidRDefault="00FF5E4C" w:rsidP="00FD27E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E4C" w:rsidRDefault="00FF5E4C" w:rsidP="00062E8E">
      <w:pPr>
        <w:spacing w:after="0" w:line="240" w:lineRule="auto"/>
      </w:pPr>
      <w:r>
        <w:separator/>
      </w:r>
    </w:p>
  </w:footnote>
  <w:footnote w:type="continuationSeparator" w:id="0">
    <w:p w:rsidR="00FF5E4C" w:rsidRDefault="00FF5E4C" w:rsidP="00062E8E">
      <w:pPr>
        <w:spacing w:after="0" w:line="240" w:lineRule="auto"/>
      </w:pPr>
      <w:r>
        <w:continuationSeparator/>
      </w:r>
    </w:p>
  </w:footnote>
  <w:footnote w:id="1">
    <w:p w:rsidR="00FF5E4C" w:rsidRPr="007F3A91" w:rsidRDefault="00FF5E4C" w:rsidP="00062E8E">
      <w:pPr>
        <w:pStyle w:val="FootnoteText"/>
        <w:rPr>
          <w:rFonts w:ascii="Calibri" w:hAnsi="Calibri" w:cs="Calibri"/>
          <w:sz w:val="18"/>
          <w:szCs w:val="18"/>
        </w:rPr>
      </w:pPr>
      <w:r w:rsidRPr="007F3A91">
        <w:rPr>
          <w:rStyle w:val="FootnoteReference"/>
          <w:rFonts w:ascii="Calibri" w:hAnsi="Calibri" w:cs="Calibri"/>
          <w:sz w:val="18"/>
          <w:szCs w:val="18"/>
        </w:rPr>
        <w:footnoteRef/>
      </w:r>
      <w:r w:rsidRPr="007F3A91">
        <w:rPr>
          <w:rFonts w:ascii="Calibri" w:hAnsi="Calibri" w:cs="Calibri"/>
          <w:sz w:val="18"/>
          <w:szCs w:val="18"/>
        </w:rPr>
        <w:t xml:space="preserve"> The draft report, “Dynamic Transfer Limit Methodology: Assessing the Impact of Dynamic Transfers on Transmission System Operations,” and an accompanying slide presentation can be found on the ColumbiaGrid site with this link:</w:t>
      </w:r>
    </w:p>
    <w:p w:rsidR="00FF5E4C" w:rsidRDefault="00FF5E4C" w:rsidP="00062E8E">
      <w:pPr>
        <w:pStyle w:val="FootnoteText"/>
      </w:pPr>
      <w:hyperlink r:id="rId1" w:history="1">
        <w:r w:rsidRPr="007F3A91">
          <w:rPr>
            <w:rStyle w:val="Hyperlink"/>
            <w:rFonts w:ascii="Calibri" w:hAnsi="Calibri" w:cs="Calibri"/>
            <w:sz w:val="18"/>
            <w:szCs w:val="18"/>
          </w:rPr>
          <w:t>http://www.columbiagrid.org/event-details.cfm?EventID=439&amp;fromcalendar=1</w:t>
        </w:r>
      </w:hyperlink>
      <w:r>
        <w:t xml:space="preserve"> .</w:t>
      </w:r>
    </w:p>
  </w:footnote>
  <w:footnote w:id="2">
    <w:p w:rsidR="00FF5E4C" w:rsidRDefault="00FF5E4C" w:rsidP="00062E8E">
      <w:pPr>
        <w:pStyle w:val="FootnoteText"/>
      </w:pPr>
      <w:r w:rsidRPr="007F3A91">
        <w:rPr>
          <w:rStyle w:val="FootnoteReference"/>
          <w:rFonts w:ascii="Calibri" w:hAnsi="Calibri" w:cs="Calibri"/>
          <w:sz w:val="18"/>
          <w:szCs w:val="18"/>
        </w:rPr>
        <w:footnoteRef/>
      </w:r>
      <w:r w:rsidRPr="007F3A91">
        <w:rPr>
          <w:rFonts w:ascii="Calibri" w:hAnsi="Calibri" w:cs="Calibri"/>
          <w:sz w:val="18"/>
          <w:szCs w:val="18"/>
        </w:rPr>
        <w:t xml:space="preserve"> Estimates of capacity and energy are of delivered potential, incremental to installed capacity operating or under construction as of end of 2008.</w:t>
      </w:r>
    </w:p>
  </w:footnote>
  <w:footnote w:id="3">
    <w:p w:rsidR="00FF5E4C" w:rsidRDefault="00FF5E4C" w:rsidP="00062E8E">
      <w:pPr>
        <w:pStyle w:val="FootnoteText"/>
      </w:pPr>
      <w:r w:rsidRPr="007F3A91">
        <w:rPr>
          <w:rStyle w:val="FootnoteReference"/>
          <w:rFonts w:ascii="Calibri" w:hAnsi="Calibri" w:cs="Calibri"/>
          <w:sz w:val="18"/>
          <w:szCs w:val="18"/>
        </w:rPr>
        <w:footnoteRef/>
      </w:r>
      <w:r w:rsidRPr="007F3A91">
        <w:rPr>
          <w:rFonts w:ascii="Calibri" w:hAnsi="Calibri" w:cs="Calibri"/>
          <w:sz w:val="18"/>
          <w:szCs w:val="18"/>
        </w:rPr>
        <w:t xml:space="preserve"> More detail on the development of these and other values is given in Appendix I of the Council’s Sixth Power Plan, available on the Council’s web site at: </w:t>
      </w:r>
      <w:hyperlink r:id="rId2" w:history="1">
        <w:r w:rsidRPr="007F3A91">
          <w:rPr>
            <w:rStyle w:val="Hyperlink"/>
            <w:rFonts w:ascii="Calibri" w:hAnsi="Calibri" w:cs="Calibri"/>
            <w:sz w:val="18"/>
            <w:szCs w:val="18"/>
          </w:rPr>
          <w:t>http://www.nwcouncil.org/energy/powerplan/6/default.htm</w:t>
        </w:r>
      </w:hyperlink>
      <w:r w:rsidRPr="007F3A91">
        <w:rPr>
          <w:rFonts w:ascii="Calibri" w:hAnsi="Calibri" w:cs="Calibri"/>
          <w:sz w:val="18"/>
          <w:szCs w:val="18"/>
        </w:rPr>
        <w:t xml:space="preserve">. </w:t>
      </w:r>
    </w:p>
  </w:footnote>
  <w:footnote w:id="4">
    <w:p w:rsidR="00FF5E4C" w:rsidRPr="00097CBA" w:rsidRDefault="00FF5E4C" w:rsidP="00C452BB">
      <w:pPr>
        <w:pStyle w:val="FootnoteText"/>
        <w:rPr>
          <w:rFonts w:ascii="Calibri" w:hAnsi="Calibri" w:cs="Calibri"/>
          <w:sz w:val="18"/>
          <w:szCs w:val="18"/>
        </w:rPr>
      </w:pPr>
      <w:r w:rsidRPr="00097CBA">
        <w:rPr>
          <w:rStyle w:val="FootnoteReference"/>
          <w:rFonts w:ascii="Calibri" w:hAnsi="Calibri" w:cs="Calibri"/>
          <w:sz w:val="18"/>
          <w:szCs w:val="18"/>
        </w:rPr>
        <w:footnoteRef/>
      </w:r>
      <w:r w:rsidRPr="00097CBA">
        <w:rPr>
          <w:rFonts w:ascii="Calibri" w:hAnsi="Calibri" w:cs="Calibri"/>
          <w:sz w:val="18"/>
          <w:szCs w:val="18"/>
        </w:rPr>
        <w:t xml:space="preserve"> The process for developing the WECC aggregations is described in the report on the WECC web site:</w:t>
      </w:r>
    </w:p>
    <w:p w:rsidR="00FF5E4C" w:rsidRDefault="00FF5E4C" w:rsidP="00C452BB">
      <w:pPr>
        <w:pStyle w:val="FootnoteText"/>
      </w:pPr>
      <w:hyperlink r:id="rId3" w:history="1">
        <w:r w:rsidRPr="00097CBA">
          <w:rPr>
            <w:rStyle w:val="Hyperlink"/>
            <w:rFonts w:ascii="Calibri" w:hAnsi="Calibri" w:cs="Calibri"/>
            <w:sz w:val="18"/>
            <w:szCs w:val="18"/>
          </w:rPr>
          <w:t>http://www.wecc.biz/committees/BOD/TEPPC/Shared%20Documents/Renewable%20Energy/Renewable%20Energy%20Generation%20Paper.pdf</w:t>
        </w:r>
      </w:hyperlink>
      <w:r w:rsidRPr="00097CBA">
        <w:rPr>
          <w:rFonts w:ascii="Calibri" w:hAnsi="Calibri" w:cs="Calibri"/>
          <w:sz w:val="18"/>
          <w:szCs w:val="18"/>
        </w:rPr>
        <w:t xml:space="preserve">.  Reports describing the development and validation of the wind and generation data underlying the NREL data base by 3Tier are available from the NREL site:  </w:t>
      </w:r>
      <w:hyperlink r:id="rId4" w:history="1">
        <w:r w:rsidRPr="00097CBA">
          <w:rPr>
            <w:rStyle w:val="Hyperlink"/>
            <w:rFonts w:ascii="Calibri" w:hAnsi="Calibri" w:cs="Calibri"/>
            <w:sz w:val="18"/>
            <w:szCs w:val="18"/>
          </w:rPr>
          <w:t>http://www.nrel.gov/wind/integrationdatasets/western/methodology.html</w:t>
        </w:r>
      </w:hyperlink>
      <w:r w:rsidRPr="00097CBA">
        <w:rPr>
          <w:rFonts w:ascii="Calibri" w:hAnsi="Calibri" w:cs="Calibri"/>
          <w:sz w:val="18"/>
          <w:szCs w:val="18"/>
        </w:rPr>
        <w:t xml:space="preserve">. </w:t>
      </w:r>
    </w:p>
  </w:footnote>
  <w:footnote w:id="5">
    <w:p w:rsidR="00FF5E4C" w:rsidRDefault="00FF5E4C" w:rsidP="005123E4">
      <w:pPr>
        <w:pStyle w:val="FootnoteText"/>
      </w:pPr>
      <w:r w:rsidRPr="00097CBA">
        <w:rPr>
          <w:rStyle w:val="FootnoteReference"/>
          <w:rFonts w:ascii="Calibri" w:hAnsi="Calibri" w:cs="Calibri"/>
          <w:sz w:val="18"/>
          <w:szCs w:val="18"/>
        </w:rPr>
        <w:footnoteRef/>
      </w:r>
      <w:r w:rsidRPr="00097CBA">
        <w:rPr>
          <w:rFonts w:ascii="Calibri" w:hAnsi="Calibri" w:cs="Calibri"/>
          <w:sz w:val="18"/>
          <w:szCs w:val="18"/>
        </w:rPr>
        <w:t xml:space="preserve"> Validation reports for five BPA sites (Chinook, Goodnoe Hills, Kennewick, Seven Mile Hill, Vansycle Ridge and Wasco), as well as 28 others across WECC, are available from the NREL web site at: </w:t>
      </w:r>
      <w:hyperlink r:id="rId5" w:history="1">
        <w:r w:rsidRPr="00097CBA">
          <w:rPr>
            <w:rStyle w:val="Hyperlink"/>
            <w:rFonts w:ascii="Calibri" w:hAnsi="Calibri" w:cs="Calibri"/>
            <w:sz w:val="18"/>
            <w:szCs w:val="18"/>
          </w:rPr>
          <w:t>http://wind.nrel.gov/public/WWIS/3TIERValidation/</w:t>
        </w:r>
      </w:hyperlink>
      <w:r w:rsidRPr="00097CBA">
        <w:rPr>
          <w:rFonts w:ascii="Calibri" w:hAnsi="Calibri" w:cs="Calibri"/>
          <w:sz w:val="18"/>
          <w:szCs w:val="18"/>
        </w:rPr>
        <w:t>.  Vansycle Ridge and Goodnoe Hills are particularly relevant to BPA’s currently sited wind plants.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8C4AD7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6DD4D76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092D16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78C213B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67288E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D2017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52ABB9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058F7F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D12617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B667792"/>
    <w:lvl w:ilvl="0">
      <w:start w:val="1"/>
      <w:numFmt w:val="bullet"/>
      <w:lvlText w:val=""/>
      <w:lvlJc w:val="left"/>
      <w:pPr>
        <w:tabs>
          <w:tab w:val="num" w:pos="360"/>
        </w:tabs>
        <w:ind w:left="360" w:hanging="360"/>
      </w:pPr>
      <w:rPr>
        <w:rFonts w:ascii="Symbol" w:hAnsi="Symbol" w:hint="default"/>
      </w:rPr>
    </w:lvl>
  </w:abstractNum>
  <w:abstractNum w:abstractNumId="10">
    <w:nsid w:val="003B7D35"/>
    <w:multiLevelType w:val="hybridMultilevel"/>
    <w:tmpl w:val="54D83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A272BE"/>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0A9366BD"/>
    <w:multiLevelType w:val="hybridMultilevel"/>
    <w:tmpl w:val="D0828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364769"/>
    <w:multiLevelType w:val="hybridMultilevel"/>
    <w:tmpl w:val="96C8E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0C0CE2"/>
    <w:multiLevelType w:val="hybridMultilevel"/>
    <w:tmpl w:val="DB723242"/>
    <w:lvl w:ilvl="0" w:tplc="04090013">
      <w:start w:val="1"/>
      <w:numFmt w:val="upperRoman"/>
      <w:lvlText w:val="%1."/>
      <w:lvlJc w:val="right"/>
      <w:pPr>
        <w:tabs>
          <w:tab w:val="num" w:pos="180"/>
        </w:tabs>
        <w:ind w:left="180" w:hanging="18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10E66BF8"/>
    <w:multiLevelType w:val="hybridMultilevel"/>
    <w:tmpl w:val="C282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783E8E"/>
    <w:multiLevelType w:val="hybridMultilevel"/>
    <w:tmpl w:val="17DE1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88B3D5A"/>
    <w:multiLevelType w:val="hybridMultilevel"/>
    <w:tmpl w:val="EB8E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F75FB4"/>
    <w:multiLevelType w:val="hybridMultilevel"/>
    <w:tmpl w:val="A9DCC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354AC7"/>
    <w:multiLevelType w:val="hybridMultilevel"/>
    <w:tmpl w:val="80A0D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4C7F45"/>
    <w:multiLevelType w:val="multilevel"/>
    <w:tmpl w:val="2CD08D08"/>
    <w:lvl w:ilvl="0">
      <w:start w:val="9"/>
      <w:numFmt w:val="upperLetter"/>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1">
    <w:nsid w:val="23D14D17"/>
    <w:multiLevelType w:val="multilevel"/>
    <w:tmpl w:val="3CBA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BF1137"/>
    <w:multiLevelType w:val="hybridMultilevel"/>
    <w:tmpl w:val="5998702E"/>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3">
    <w:nsid w:val="2DFA7C91"/>
    <w:multiLevelType w:val="hybridMultilevel"/>
    <w:tmpl w:val="4D5642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1BD6EAF"/>
    <w:multiLevelType w:val="hybridMultilevel"/>
    <w:tmpl w:val="23B88BAA"/>
    <w:lvl w:ilvl="0" w:tplc="04090001">
      <w:start w:val="1"/>
      <w:numFmt w:val="bullet"/>
      <w:lvlText w:val=""/>
      <w:lvlJc w:val="left"/>
      <w:pPr>
        <w:ind w:left="4680" w:hanging="360"/>
      </w:pPr>
      <w:rPr>
        <w:rFonts w:ascii="Symbol" w:hAnsi="Symbol" w:hint="default"/>
      </w:rPr>
    </w:lvl>
    <w:lvl w:ilvl="1" w:tplc="04090003">
      <w:start w:val="1"/>
      <w:numFmt w:val="bullet"/>
      <w:lvlText w:val="o"/>
      <w:lvlJc w:val="left"/>
      <w:pPr>
        <w:ind w:left="5400" w:hanging="360"/>
      </w:pPr>
      <w:rPr>
        <w:rFonts w:ascii="Courier New" w:hAnsi="Courier New" w:hint="default"/>
      </w:rPr>
    </w:lvl>
    <w:lvl w:ilvl="2" w:tplc="04090005">
      <w:start w:val="1"/>
      <w:numFmt w:val="bullet"/>
      <w:lvlText w:val=""/>
      <w:lvlJc w:val="left"/>
      <w:pPr>
        <w:ind w:left="6120" w:hanging="360"/>
      </w:pPr>
      <w:rPr>
        <w:rFonts w:ascii="Wingdings" w:hAnsi="Wingdings" w:hint="default"/>
      </w:rPr>
    </w:lvl>
    <w:lvl w:ilvl="3" w:tplc="0409000F">
      <w:start w:val="1"/>
      <w:numFmt w:val="decimal"/>
      <w:lvlText w:val="%4."/>
      <w:lvlJc w:val="left"/>
      <w:pPr>
        <w:tabs>
          <w:tab w:val="num" w:pos="6840"/>
        </w:tabs>
        <w:ind w:left="6840" w:hanging="360"/>
      </w:pPr>
      <w:rPr>
        <w:rFonts w:cs="Times New Roman"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5">
    <w:nsid w:val="3A7D7F1C"/>
    <w:multiLevelType w:val="hybridMultilevel"/>
    <w:tmpl w:val="4B2C5B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3E7F5484"/>
    <w:multiLevelType w:val="hybridMultilevel"/>
    <w:tmpl w:val="1DF0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9D44D3"/>
    <w:multiLevelType w:val="hybridMultilevel"/>
    <w:tmpl w:val="43BCE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EA21FE3"/>
    <w:multiLevelType w:val="multilevel"/>
    <w:tmpl w:val="2CD08D08"/>
    <w:lvl w:ilvl="0">
      <w:start w:val="9"/>
      <w:numFmt w:val="upperLetter"/>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
    <w:nsid w:val="3F530A68"/>
    <w:multiLevelType w:val="hybridMultilevel"/>
    <w:tmpl w:val="F6AE226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0E96B49"/>
    <w:multiLevelType w:val="hybridMultilevel"/>
    <w:tmpl w:val="F0BE68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1034556"/>
    <w:multiLevelType w:val="hybridMultilevel"/>
    <w:tmpl w:val="5606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DD1966"/>
    <w:multiLevelType w:val="hybridMultilevel"/>
    <w:tmpl w:val="29D4FD9C"/>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71F3576"/>
    <w:multiLevelType w:val="hybridMultilevel"/>
    <w:tmpl w:val="67803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566C31"/>
    <w:multiLevelType w:val="hybridMultilevel"/>
    <w:tmpl w:val="C5DADA1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4AB71CB7"/>
    <w:multiLevelType w:val="hybridMultilevel"/>
    <w:tmpl w:val="F00EEEC6"/>
    <w:lvl w:ilvl="0" w:tplc="0409000F">
      <w:start w:val="1"/>
      <w:numFmt w:val="decimal"/>
      <w:lvlText w:val="%1."/>
      <w:lvlJc w:val="left"/>
      <w:pPr>
        <w:tabs>
          <w:tab w:val="num" w:pos="720"/>
        </w:tabs>
        <w:ind w:left="720" w:hanging="360"/>
      </w:pPr>
      <w:rPr>
        <w:rFonts w:cs="Times New Roman" w:hint="default"/>
      </w:rPr>
    </w:lvl>
    <w:lvl w:ilvl="1" w:tplc="04090013">
      <w:start w:val="1"/>
      <w:numFmt w:val="upperRoman"/>
      <w:lvlText w:val="%2."/>
      <w:lvlJc w:val="right"/>
      <w:pPr>
        <w:tabs>
          <w:tab w:val="num" w:pos="1260"/>
        </w:tabs>
        <w:ind w:left="1260" w:hanging="18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349551E"/>
    <w:multiLevelType w:val="hybridMultilevel"/>
    <w:tmpl w:val="4FBA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5E38E8"/>
    <w:multiLevelType w:val="hybridMultilevel"/>
    <w:tmpl w:val="AFD02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3865BFD"/>
    <w:multiLevelType w:val="hybridMultilevel"/>
    <w:tmpl w:val="6192B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AF872E5"/>
    <w:multiLevelType w:val="hybridMultilevel"/>
    <w:tmpl w:val="00FC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6B09DD"/>
    <w:multiLevelType w:val="multilevel"/>
    <w:tmpl w:val="DB723242"/>
    <w:lvl w:ilvl="0">
      <w:start w:val="1"/>
      <w:numFmt w:val="upperRoman"/>
      <w:lvlText w:val="%1."/>
      <w:lvlJc w:val="right"/>
      <w:pPr>
        <w:tabs>
          <w:tab w:val="num" w:pos="180"/>
        </w:tabs>
        <w:ind w:left="180" w:hanging="18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nsid w:val="6F2B10AF"/>
    <w:multiLevelType w:val="hybridMultilevel"/>
    <w:tmpl w:val="5FE8B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EC1251"/>
    <w:multiLevelType w:val="hybridMultilevel"/>
    <w:tmpl w:val="1B20EC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04E40B1"/>
    <w:multiLevelType w:val="hybridMultilevel"/>
    <w:tmpl w:val="29D4FD9C"/>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1807E3E"/>
    <w:multiLevelType w:val="hybridMultilevel"/>
    <w:tmpl w:val="D892EE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3FF3DB1"/>
    <w:multiLevelType w:val="multilevel"/>
    <w:tmpl w:val="04090027"/>
    <w:lvl w:ilvl="0">
      <w:start w:val="1"/>
      <w:numFmt w:val="upperRoman"/>
      <w:pStyle w:val="Heading1"/>
      <w:lvlText w:val="%1."/>
      <w:lvlJc w:val="left"/>
      <w:rPr>
        <w:rFonts w:cs="Times New Roman"/>
      </w:rPr>
    </w:lvl>
    <w:lvl w:ilvl="1">
      <w:start w:val="1"/>
      <w:numFmt w:val="upperLetter"/>
      <w:pStyle w:val="Heading2"/>
      <w:lvlText w:val="%2."/>
      <w:lvlJc w:val="left"/>
      <w:pPr>
        <w:ind w:left="720"/>
      </w:pPr>
      <w:rPr>
        <w:rFonts w:cs="Times New Roman"/>
      </w:rPr>
    </w:lvl>
    <w:lvl w:ilvl="2">
      <w:start w:val="1"/>
      <w:numFmt w:val="decimal"/>
      <w:pStyle w:val="Heading3"/>
      <w:lvlText w:val="%3."/>
      <w:lvlJc w:val="left"/>
      <w:pPr>
        <w:ind w:left="1440"/>
      </w:pPr>
      <w:rPr>
        <w:rFonts w:cs="Times New Roman"/>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46">
    <w:nsid w:val="77CE7422"/>
    <w:multiLevelType w:val="hybridMultilevel"/>
    <w:tmpl w:val="0060BA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789415EA"/>
    <w:multiLevelType w:val="hybridMultilevel"/>
    <w:tmpl w:val="D834E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A1009B1"/>
    <w:multiLevelType w:val="hybridMultilevel"/>
    <w:tmpl w:val="DCA423B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num w:numId="1">
    <w:abstractNumId w:val="14"/>
  </w:num>
  <w:num w:numId="2">
    <w:abstractNumId w:val="45"/>
  </w:num>
  <w:num w:numId="3">
    <w:abstractNumId w:val="47"/>
  </w:num>
  <w:num w:numId="4">
    <w:abstractNumId w:val="11"/>
  </w:num>
  <w:num w:numId="5">
    <w:abstractNumId w:val="26"/>
  </w:num>
  <w:num w:numId="6">
    <w:abstractNumId w:val="31"/>
  </w:num>
  <w:num w:numId="7">
    <w:abstractNumId w:val="24"/>
  </w:num>
  <w:num w:numId="8">
    <w:abstractNumId w:val="42"/>
  </w:num>
  <w:num w:numId="9">
    <w:abstractNumId w:val="41"/>
  </w:num>
  <w:num w:numId="10">
    <w:abstractNumId w:val="29"/>
  </w:num>
  <w:num w:numId="11">
    <w:abstractNumId w:val="17"/>
  </w:num>
  <w:num w:numId="12">
    <w:abstractNumId w:val="36"/>
  </w:num>
  <w:num w:numId="13">
    <w:abstractNumId w:val="13"/>
  </w:num>
  <w:num w:numId="14">
    <w:abstractNumId w:val="39"/>
  </w:num>
  <w:num w:numId="15">
    <w:abstractNumId w:val="18"/>
  </w:num>
  <w:num w:numId="16">
    <w:abstractNumId w:val="15"/>
  </w:num>
  <w:num w:numId="17">
    <w:abstractNumId w:val="19"/>
  </w:num>
  <w:num w:numId="18">
    <w:abstractNumId w:val="12"/>
  </w:num>
  <w:num w:numId="19">
    <w:abstractNumId w:val="10"/>
  </w:num>
  <w:num w:numId="20">
    <w:abstractNumId w:val="33"/>
  </w:num>
  <w:num w:numId="21">
    <w:abstractNumId w:val="3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44"/>
  </w:num>
  <w:num w:numId="33">
    <w:abstractNumId w:val="22"/>
  </w:num>
  <w:num w:numId="34">
    <w:abstractNumId w:val="48"/>
  </w:num>
  <w:num w:numId="35">
    <w:abstractNumId w:val="25"/>
  </w:num>
  <w:num w:numId="36">
    <w:abstractNumId w:val="38"/>
  </w:num>
  <w:num w:numId="37">
    <w:abstractNumId w:val="16"/>
  </w:num>
  <w:num w:numId="38">
    <w:abstractNumId w:val="34"/>
  </w:num>
  <w:num w:numId="39">
    <w:abstractNumId w:val="27"/>
  </w:num>
  <w:num w:numId="40">
    <w:abstractNumId w:val="35"/>
  </w:num>
  <w:num w:numId="41">
    <w:abstractNumId w:val="23"/>
  </w:num>
  <w:num w:numId="42">
    <w:abstractNumId w:val="45"/>
  </w:num>
  <w:num w:numId="43">
    <w:abstractNumId w:val="20"/>
  </w:num>
  <w:num w:numId="44">
    <w:abstractNumId w:val="28"/>
  </w:num>
  <w:num w:numId="45">
    <w:abstractNumId w:val="40"/>
  </w:num>
  <w:num w:numId="46">
    <w:abstractNumId w:val="46"/>
  </w:num>
  <w:num w:numId="47">
    <w:abstractNumId w:val="21"/>
  </w:num>
  <w:num w:numId="48">
    <w:abstractNumId w:val="37"/>
  </w:num>
  <w:num w:numId="49">
    <w:abstractNumId w:val="32"/>
  </w:num>
  <w:num w:numId="50">
    <w:abstractNumId w:val="4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2DD6"/>
    <w:rsid w:val="00010540"/>
    <w:rsid w:val="00012248"/>
    <w:rsid w:val="00035A4A"/>
    <w:rsid w:val="000360A0"/>
    <w:rsid w:val="00040F48"/>
    <w:rsid w:val="000463F8"/>
    <w:rsid w:val="0005082D"/>
    <w:rsid w:val="000513F8"/>
    <w:rsid w:val="00051500"/>
    <w:rsid w:val="00060219"/>
    <w:rsid w:val="00062E8E"/>
    <w:rsid w:val="0007596D"/>
    <w:rsid w:val="00082996"/>
    <w:rsid w:val="00084A90"/>
    <w:rsid w:val="000905BB"/>
    <w:rsid w:val="00097CBA"/>
    <w:rsid w:val="000B14D9"/>
    <w:rsid w:val="000B3897"/>
    <w:rsid w:val="000C3847"/>
    <w:rsid w:val="000D5DA7"/>
    <w:rsid w:val="000E0213"/>
    <w:rsid w:val="000E0ED8"/>
    <w:rsid w:val="000F4620"/>
    <w:rsid w:val="000F4953"/>
    <w:rsid w:val="001432C4"/>
    <w:rsid w:val="001620CA"/>
    <w:rsid w:val="00163E24"/>
    <w:rsid w:val="00172AE7"/>
    <w:rsid w:val="001732F4"/>
    <w:rsid w:val="00183B79"/>
    <w:rsid w:val="0019055B"/>
    <w:rsid w:val="00192546"/>
    <w:rsid w:val="001C3803"/>
    <w:rsid w:val="001C3DDB"/>
    <w:rsid w:val="001D1030"/>
    <w:rsid w:val="001D7D2A"/>
    <w:rsid w:val="001E4FA8"/>
    <w:rsid w:val="001E56CF"/>
    <w:rsid w:val="001E6BDF"/>
    <w:rsid w:val="001F795A"/>
    <w:rsid w:val="00200894"/>
    <w:rsid w:val="002065A4"/>
    <w:rsid w:val="00210AEA"/>
    <w:rsid w:val="002142E4"/>
    <w:rsid w:val="002143B9"/>
    <w:rsid w:val="0022271A"/>
    <w:rsid w:val="002227FC"/>
    <w:rsid w:val="0022776D"/>
    <w:rsid w:val="002358C3"/>
    <w:rsid w:val="00256C72"/>
    <w:rsid w:val="00266C11"/>
    <w:rsid w:val="0027168B"/>
    <w:rsid w:val="00282D1B"/>
    <w:rsid w:val="002834BF"/>
    <w:rsid w:val="00284425"/>
    <w:rsid w:val="002861B2"/>
    <w:rsid w:val="00287C46"/>
    <w:rsid w:val="002A3DD4"/>
    <w:rsid w:val="002A4A42"/>
    <w:rsid w:val="002A69A9"/>
    <w:rsid w:val="002A719B"/>
    <w:rsid w:val="002A7B15"/>
    <w:rsid w:val="002C23FB"/>
    <w:rsid w:val="002C486F"/>
    <w:rsid w:val="002F571A"/>
    <w:rsid w:val="00302A16"/>
    <w:rsid w:val="00304AB1"/>
    <w:rsid w:val="00314B50"/>
    <w:rsid w:val="003273FC"/>
    <w:rsid w:val="0033418F"/>
    <w:rsid w:val="00334217"/>
    <w:rsid w:val="00343F04"/>
    <w:rsid w:val="00347137"/>
    <w:rsid w:val="003520FF"/>
    <w:rsid w:val="00375E39"/>
    <w:rsid w:val="0038393A"/>
    <w:rsid w:val="00391ECF"/>
    <w:rsid w:val="003B77E2"/>
    <w:rsid w:val="003D225D"/>
    <w:rsid w:val="003D2A55"/>
    <w:rsid w:val="003E1543"/>
    <w:rsid w:val="003F3B95"/>
    <w:rsid w:val="003F48BA"/>
    <w:rsid w:val="004044E9"/>
    <w:rsid w:val="004138CA"/>
    <w:rsid w:val="004147CA"/>
    <w:rsid w:val="00432896"/>
    <w:rsid w:val="004374CF"/>
    <w:rsid w:val="00454149"/>
    <w:rsid w:val="00462816"/>
    <w:rsid w:val="00466027"/>
    <w:rsid w:val="00466B35"/>
    <w:rsid w:val="00471A79"/>
    <w:rsid w:val="00475A2C"/>
    <w:rsid w:val="004777ED"/>
    <w:rsid w:val="00480FB3"/>
    <w:rsid w:val="00492C34"/>
    <w:rsid w:val="004B0B4F"/>
    <w:rsid w:val="004B0F35"/>
    <w:rsid w:val="004D62CF"/>
    <w:rsid w:val="004E21ED"/>
    <w:rsid w:val="004F533E"/>
    <w:rsid w:val="00500EF5"/>
    <w:rsid w:val="0051222E"/>
    <w:rsid w:val="005123E4"/>
    <w:rsid w:val="00516D4A"/>
    <w:rsid w:val="005227C2"/>
    <w:rsid w:val="00522BD5"/>
    <w:rsid w:val="00526B75"/>
    <w:rsid w:val="005274F5"/>
    <w:rsid w:val="00540F23"/>
    <w:rsid w:val="00554693"/>
    <w:rsid w:val="00554EB4"/>
    <w:rsid w:val="0056355B"/>
    <w:rsid w:val="00580F92"/>
    <w:rsid w:val="0058190D"/>
    <w:rsid w:val="00582E9B"/>
    <w:rsid w:val="00584450"/>
    <w:rsid w:val="00585EFA"/>
    <w:rsid w:val="00590643"/>
    <w:rsid w:val="005915F3"/>
    <w:rsid w:val="005A18B7"/>
    <w:rsid w:val="005B477B"/>
    <w:rsid w:val="005B4C23"/>
    <w:rsid w:val="005B7449"/>
    <w:rsid w:val="005C1756"/>
    <w:rsid w:val="005F4AD9"/>
    <w:rsid w:val="005F5F58"/>
    <w:rsid w:val="00611CAD"/>
    <w:rsid w:val="006132A9"/>
    <w:rsid w:val="0061552C"/>
    <w:rsid w:val="0061736D"/>
    <w:rsid w:val="00622530"/>
    <w:rsid w:val="00624B6F"/>
    <w:rsid w:val="006275AC"/>
    <w:rsid w:val="006449B8"/>
    <w:rsid w:val="006552A2"/>
    <w:rsid w:val="006578B4"/>
    <w:rsid w:val="00665299"/>
    <w:rsid w:val="00670951"/>
    <w:rsid w:val="00686CBC"/>
    <w:rsid w:val="00693B34"/>
    <w:rsid w:val="006951B9"/>
    <w:rsid w:val="0069617D"/>
    <w:rsid w:val="006A5DF6"/>
    <w:rsid w:val="006C64DD"/>
    <w:rsid w:val="006D5ACC"/>
    <w:rsid w:val="006D7A0B"/>
    <w:rsid w:val="006E66B5"/>
    <w:rsid w:val="006F5F60"/>
    <w:rsid w:val="006F663C"/>
    <w:rsid w:val="007031E3"/>
    <w:rsid w:val="00703271"/>
    <w:rsid w:val="00717965"/>
    <w:rsid w:val="007207FC"/>
    <w:rsid w:val="00733185"/>
    <w:rsid w:val="00734138"/>
    <w:rsid w:val="00737B49"/>
    <w:rsid w:val="00740C55"/>
    <w:rsid w:val="007532B7"/>
    <w:rsid w:val="00754B5F"/>
    <w:rsid w:val="00757AC0"/>
    <w:rsid w:val="00780417"/>
    <w:rsid w:val="00796762"/>
    <w:rsid w:val="007A13BC"/>
    <w:rsid w:val="007B734A"/>
    <w:rsid w:val="007C7D2A"/>
    <w:rsid w:val="007E1019"/>
    <w:rsid w:val="007E625C"/>
    <w:rsid w:val="007E6F42"/>
    <w:rsid w:val="007F06AB"/>
    <w:rsid w:val="007F0F90"/>
    <w:rsid w:val="007F3A91"/>
    <w:rsid w:val="007F3F9B"/>
    <w:rsid w:val="007F698B"/>
    <w:rsid w:val="007F77F1"/>
    <w:rsid w:val="007F7C53"/>
    <w:rsid w:val="00812EF6"/>
    <w:rsid w:val="00813114"/>
    <w:rsid w:val="00822DD6"/>
    <w:rsid w:val="00834126"/>
    <w:rsid w:val="00840F87"/>
    <w:rsid w:val="00844ACA"/>
    <w:rsid w:val="008456B1"/>
    <w:rsid w:val="008540CA"/>
    <w:rsid w:val="00861E9B"/>
    <w:rsid w:val="0086583D"/>
    <w:rsid w:val="00865C05"/>
    <w:rsid w:val="0088478B"/>
    <w:rsid w:val="00895BD8"/>
    <w:rsid w:val="008979E7"/>
    <w:rsid w:val="008A6A8B"/>
    <w:rsid w:val="008B76C2"/>
    <w:rsid w:val="008D3D25"/>
    <w:rsid w:val="008D786D"/>
    <w:rsid w:val="008E0ACF"/>
    <w:rsid w:val="008E0AED"/>
    <w:rsid w:val="008F348D"/>
    <w:rsid w:val="00900D88"/>
    <w:rsid w:val="00904034"/>
    <w:rsid w:val="0091274E"/>
    <w:rsid w:val="00913438"/>
    <w:rsid w:val="009200EC"/>
    <w:rsid w:val="0092156F"/>
    <w:rsid w:val="009222BB"/>
    <w:rsid w:val="00925948"/>
    <w:rsid w:val="00925D27"/>
    <w:rsid w:val="0096083D"/>
    <w:rsid w:val="009A079B"/>
    <w:rsid w:val="009A2749"/>
    <w:rsid w:val="009A2C38"/>
    <w:rsid w:val="009A7FE9"/>
    <w:rsid w:val="009B3F61"/>
    <w:rsid w:val="009B4A71"/>
    <w:rsid w:val="009B670C"/>
    <w:rsid w:val="009C2898"/>
    <w:rsid w:val="009D49E2"/>
    <w:rsid w:val="009E07D1"/>
    <w:rsid w:val="009E6E24"/>
    <w:rsid w:val="009F3361"/>
    <w:rsid w:val="009F6704"/>
    <w:rsid w:val="00A018F8"/>
    <w:rsid w:val="00A15108"/>
    <w:rsid w:val="00A32226"/>
    <w:rsid w:val="00A33557"/>
    <w:rsid w:val="00A47DBB"/>
    <w:rsid w:val="00A51095"/>
    <w:rsid w:val="00A61DCB"/>
    <w:rsid w:val="00A646FA"/>
    <w:rsid w:val="00A827AE"/>
    <w:rsid w:val="00A8681A"/>
    <w:rsid w:val="00A87BFF"/>
    <w:rsid w:val="00AA478F"/>
    <w:rsid w:val="00AB314D"/>
    <w:rsid w:val="00AB4797"/>
    <w:rsid w:val="00AD24E5"/>
    <w:rsid w:val="00AD692A"/>
    <w:rsid w:val="00AF4AD2"/>
    <w:rsid w:val="00AF678D"/>
    <w:rsid w:val="00B03EF0"/>
    <w:rsid w:val="00B11E4B"/>
    <w:rsid w:val="00B20412"/>
    <w:rsid w:val="00B20415"/>
    <w:rsid w:val="00B21B7D"/>
    <w:rsid w:val="00B26AE3"/>
    <w:rsid w:val="00B27E0E"/>
    <w:rsid w:val="00B405AE"/>
    <w:rsid w:val="00B412C9"/>
    <w:rsid w:val="00B46F9C"/>
    <w:rsid w:val="00B51B86"/>
    <w:rsid w:val="00B5498A"/>
    <w:rsid w:val="00B619FA"/>
    <w:rsid w:val="00B62925"/>
    <w:rsid w:val="00B72B20"/>
    <w:rsid w:val="00B753C9"/>
    <w:rsid w:val="00B838CA"/>
    <w:rsid w:val="00B85980"/>
    <w:rsid w:val="00BA6B0C"/>
    <w:rsid w:val="00BA6C1C"/>
    <w:rsid w:val="00BB2216"/>
    <w:rsid w:val="00BB2966"/>
    <w:rsid w:val="00BB5745"/>
    <w:rsid w:val="00BD5325"/>
    <w:rsid w:val="00BE3758"/>
    <w:rsid w:val="00BE5514"/>
    <w:rsid w:val="00BE5EA0"/>
    <w:rsid w:val="00BF1F25"/>
    <w:rsid w:val="00BF5472"/>
    <w:rsid w:val="00C0084A"/>
    <w:rsid w:val="00C21460"/>
    <w:rsid w:val="00C21ADC"/>
    <w:rsid w:val="00C24C58"/>
    <w:rsid w:val="00C3665C"/>
    <w:rsid w:val="00C41237"/>
    <w:rsid w:val="00C420AA"/>
    <w:rsid w:val="00C452BB"/>
    <w:rsid w:val="00C4626B"/>
    <w:rsid w:val="00C5386B"/>
    <w:rsid w:val="00C57F88"/>
    <w:rsid w:val="00C65C9F"/>
    <w:rsid w:val="00C66B85"/>
    <w:rsid w:val="00C74C4B"/>
    <w:rsid w:val="00C8134B"/>
    <w:rsid w:val="00C8683A"/>
    <w:rsid w:val="00C92080"/>
    <w:rsid w:val="00C92A8D"/>
    <w:rsid w:val="00C95CD1"/>
    <w:rsid w:val="00CA30FB"/>
    <w:rsid w:val="00CA4C7C"/>
    <w:rsid w:val="00CB37F3"/>
    <w:rsid w:val="00CB392F"/>
    <w:rsid w:val="00CB69F0"/>
    <w:rsid w:val="00CD6F3D"/>
    <w:rsid w:val="00CD768D"/>
    <w:rsid w:val="00CE61FC"/>
    <w:rsid w:val="00CF7CAF"/>
    <w:rsid w:val="00D00226"/>
    <w:rsid w:val="00D04374"/>
    <w:rsid w:val="00D11548"/>
    <w:rsid w:val="00D318A8"/>
    <w:rsid w:val="00D43B7D"/>
    <w:rsid w:val="00D46AA3"/>
    <w:rsid w:val="00D61303"/>
    <w:rsid w:val="00D74B03"/>
    <w:rsid w:val="00D750E0"/>
    <w:rsid w:val="00D7545F"/>
    <w:rsid w:val="00D849BA"/>
    <w:rsid w:val="00D91580"/>
    <w:rsid w:val="00DA7372"/>
    <w:rsid w:val="00DB4FC8"/>
    <w:rsid w:val="00DD48C7"/>
    <w:rsid w:val="00DE3939"/>
    <w:rsid w:val="00DE5C1D"/>
    <w:rsid w:val="00DE5C8B"/>
    <w:rsid w:val="00DE737F"/>
    <w:rsid w:val="00DF0ECA"/>
    <w:rsid w:val="00DF1B05"/>
    <w:rsid w:val="00DF4A73"/>
    <w:rsid w:val="00DF57B2"/>
    <w:rsid w:val="00E26FE8"/>
    <w:rsid w:val="00E33210"/>
    <w:rsid w:val="00E34699"/>
    <w:rsid w:val="00E34E4A"/>
    <w:rsid w:val="00E6534A"/>
    <w:rsid w:val="00E70F79"/>
    <w:rsid w:val="00E81497"/>
    <w:rsid w:val="00E908B9"/>
    <w:rsid w:val="00E916BE"/>
    <w:rsid w:val="00E94967"/>
    <w:rsid w:val="00EA6FAE"/>
    <w:rsid w:val="00EB6074"/>
    <w:rsid w:val="00ED279C"/>
    <w:rsid w:val="00EE1409"/>
    <w:rsid w:val="00EF6982"/>
    <w:rsid w:val="00F06BBE"/>
    <w:rsid w:val="00F2133C"/>
    <w:rsid w:val="00F44633"/>
    <w:rsid w:val="00F527C6"/>
    <w:rsid w:val="00F54D18"/>
    <w:rsid w:val="00F62578"/>
    <w:rsid w:val="00F73E66"/>
    <w:rsid w:val="00F74E8F"/>
    <w:rsid w:val="00F8329D"/>
    <w:rsid w:val="00F85202"/>
    <w:rsid w:val="00F85910"/>
    <w:rsid w:val="00F91A5B"/>
    <w:rsid w:val="00FA06A2"/>
    <w:rsid w:val="00FA06B0"/>
    <w:rsid w:val="00FA31B3"/>
    <w:rsid w:val="00FB06EF"/>
    <w:rsid w:val="00FB52F5"/>
    <w:rsid w:val="00FB76FF"/>
    <w:rsid w:val="00FB7DE5"/>
    <w:rsid w:val="00FC39DC"/>
    <w:rsid w:val="00FD1B3D"/>
    <w:rsid w:val="00FD27E3"/>
    <w:rsid w:val="00FD3DAE"/>
    <w:rsid w:val="00FE3C64"/>
    <w:rsid w:val="00FE438D"/>
    <w:rsid w:val="00FF23E3"/>
    <w:rsid w:val="00FF5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B52F5"/>
    <w:pPr>
      <w:spacing w:after="200" w:line="276" w:lineRule="auto"/>
    </w:pPr>
    <w:rPr>
      <w:rFonts w:eastAsia="Times New Roman"/>
    </w:rPr>
  </w:style>
  <w:style w:type="paragraph" w:styleId="Heading1">
    <w:name w:val="heading 1"/>
    <w:basedOn w:val="Normal"/>
    <w:next w:val="Normal"/>
    <w:link w:val="Heading1Char"/>
    <w:uiPriority w:val="99"/>
    <w:qFormat/>
    <w:rsid w:val="00062E8E"/>
    <w:pPr>
      <w:keepNext/>
      <w:keepLines/>
      <w:numPr>
        <w:numId w:val="2"/>
      </w:numPr>
      <w:spacing w:before="480" w:after="0"/>
      <w:outlineLvl w:val="0"/>
    </w:pPr>
    <w:rPr>
      <w:rFonts w:ascii="Cambria" w:eastAsia="Calibri" w:hAnsi="Cambria"/>
      <w:b/>
      <w:bCs/>
      <w:color w:val="365F91"/>
      <w:sz w:val="28"/>
      <w:szCs w:val="28"/>
    </w:rPr>
  </w:style>
  <w:style w:type="paragraph" w:styleId="Heading2">
    <w:name w:val="heading 2"/>
    <w:basedOn w:val="Normal"/>
    <w:next w:val="Normal"/>
    <w:link w:val="Heading2Char"/>
    <w:uiPriority w:val="99"/>
    <w:qFormat/>
    <w:rsid w:val="00C66B85"/>
    <w:pPr>
      <w:keepNext/>
      <w:keepLines/>
      <w:numPr>
        <w:ilvl w:val="1"/>
        <w:numId w:val="2"/>
      </w:numPr>
      <w:spacing w:before="200" w:after="0"/>
      <w:outlineLvl w:val="1"/>
    </w:pPr>
    <w:rPr>
      <w:rFonts w:ascii="Cambria" w:eastAsia="Calibri" w:hAnsi="Cambria"/>
      <w:b/>
      <w:bCs/>
      <w:color w:val="4F81BD"/>
      <w:sz w:val="26"/>
      <w:szCs w:val="26"/>
    </w:rPr>
  </w:style>
  <w:style w:type="paragraph" w:styleId="Heading3">
    <w:name w:val="heading 3"/>
    <w:basedOn w:val="Normal"/>
    <w:next w:val="Normal"/>
    <w:link w:val="Heading3Char"/>
    <w:uiPriority w:val="99"/>
    <w:qFormat/>
    <w:rsid w:val="009F6704"/>
    <w:pPr>
      <w:keepNext/>
      <w:keepLines/>
      <w:numPr>
        <w:ilvl w:val="2"/>
        <w:numId w:val="2"/>
      </w:numPr>
      <w:spacing w:before="200" w:after="0"/>
      <w:outlineLvl w:val="2"/>
    </w:pPr>
    <w:rPr>
      <w:rFonts w:ascii="Cambria" w:eastAsia="Calibri" w:hAnsi="Cambria"/>
      <w:b/>
      <w:bCs/>
      <w:color w:val="4F81BD"/>
    </w:rPr>
  </w:style>
  <w:style w:type="paragraph" w:styleId="Heading4">
    <w:name w:val="heading 4"/>
    <w:basedOn w:val="Normal"/>
    <w:next w:val="Normal"/>
    <w:link w:val="Heading4Char"/>
    <w:uiPriority w:val="99"/>
    <w:qFormat/>
    <w:rsid w:val="009F6704"/>
    <w:pPr>
      <w:keepNext/>
      <w:keepLines/>
      <w:numPr>
        <w:ilvl w:val="3"/>
        <w:numId w:val="2"/>
      </w:numPr>
      <w:spacing w:before="200" w:after="0"/>
      <w:outlineLvl w:val="3"/>
    </w:pPr>
    <w:rPr>
      <w:rFonts w:ascii="Cambria" w:eastAsia="Calibri" w:hAnsi="Cambria"/>
      <w:b/>
      <w:bCs/>
      <w:i/>
      <w:iCs/>
      <w:color w:val="4F81BD"/>
    </w:rPr>
  </w:style>
  <w:style w:type="paragraph" w:styleId="Heading5">
    <w:name w:val="heading 5"/>
    <w:basedOn w:val="Normal"/>
    <w:next w:val="Normal"/>
    <w:link w:val="Heading5Char"/>
    <w:uiPriority w:val="99"/>
    <w:qFormat/>
    <w:rsid w:val="009F6704"/>
    <w:pPr>
      <w:keepNext/>
      <w:keepLines/>
      <w:numPr>
        <w:ilvl w:val="4"/>
        <w:numId w:val="2"/>
      </w:numPr>
      <w:spacing w:before="200" w:after="0"/>
      <w:outlineLvl w:val="4"/>
    </w:pPr>
    <w:rPr>
      <w:rFonts w:ascii="Cambria" w:eastAsia="Calibri" w:hAnsi="Cambria"/>
      <w:color w:val="243F60"/>
    </w:rPr>
  </w:style>
  <w:style w:type="paragraph" w:styleId="Heading6">
    <w:name w:val="heading 6"/>
    <w:basedOn w:val="Normal"/>
    <w:next w:val="Normal"/>
    <w:link w:val="Heading6Char"/>
    <w:uiPriority w:val="99"/>
    <w:qFormat/>
    <w:rsid w:val="009F6704"/>
    <w:pPr>
      <w:keepNext/>
      <w:keepLines/>
      <w:numPr>
        <w:ilvl w:val="5"/>
        <w:numId w:val="2"/>
      </w:numPr>
      <w:spacing w:before="200" w:after="0"/>
      <w:outlineLvl w:val="5"/>
    </w:pPr>
    <w:rPr>
      <w:rFonts w:ascii="Cambria" w:eastAsia="Calibri" w:hAnsi="Cambria"/>
      <w:i/>
      <w:iCs/>
      <w:color w:val="243F60"/>
    </w:rPr>
  </w:style>
  <w:style w:type="paragraph" w:styleId="Heading7">
    <w:name w:val="heading 7"/>
    <w:basedOn w:val="Normal"/>
    <w:next w:val="Normal"/>
    <w:link w:val="Heading7Char"/>
    <w:uiPriority w:val="99"/>
    <w:qFormat/>
    <w:rsid w:val="009F6704"/>
    <w:pPr>
      <w:keepNext/>
      <w:keepLines/>
      <w:numPr>
        <w:ilvl w:val="6"/>
        <w:numId w:val="2"/>
      </w:numPr>
      <w:spacing w:before="200" w:after="0"/>
      <w:outlineLvl w:val="6"/>
    </w:pPr>
    <w:rPr>
      <w:rFonts w:ascii="Cambria" w:eastAsia="Calibri" w:hAnsi="Cambria"/>
      <w:i/>
      <w:iCs/>
      <w:color w:val="404040"/>
    </w:rPr>
  </w:style>
  <w:style w:type="paragraph" w:styleId="Heading8">
    <w:name w:val="heading 8"/>
    <w:basedOn w:val="Normal"/>
    <w:next w:val="Normal"/>
    <w:link w:val="Heading8Char"/>
    <w:uiPriority w:val="99"/>
    <w:qFormat/>
    <w:rsid w:val="009F6704"/>
    <w:pPr>
      <w:keepNext/>
      <w:keepLines/>
      <w:numPr>
        <w:ilvl w:val="7"/>
        <w:numId w:val="2"/>
      </w:numPr>
      <w:spacing w:before="200" w:after="0"/>
      <w:outlineLvl w:val="7"/>
    </w:pPr>
    <w:rPr>
      <w:rFonts w:ascii="Cambria" w:eastAsia="Calibri" w:hAnsi="Cambria"/>
      <w:color w:val="404040"/>
      <w:sz w:val="20"/>
      <w:szCs w:val="20"/>
    </w:rPr>
  </w:style>
  <w:style w:type="paragraph" w:styleId="Heading9">
    <w:name w:val="heading 9"/>
    <w:basedOn w:val="Normal"/>
    <w:next w:val="Normal"/>
    <w:link w:val="Heading9Char"/>
    <w:uiPriority w:val="99"/>
    <w:qFormat/>
    <w:rsid w:val="009F6704"/>
    <w:pPr>
      <w:keepNext/>
      <w:keepLines/>
      <w:numPr>
        <w:ilvl w:val="8"/>
        <w:numId w:val="2"/>
      </w:numPr>
      <w:spacing w:before="200" w:after="0"/>
      <w:outlineLvl w:val="8"/>
    </w:pPr>
    <w:rPr>
      <w:rFonts w:ascii="Cambria" w:eastAsia="Calibri"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62E8E"/>
    <w:rPr>
      <w:rFonts w:ascii="Cambria" w:eastAsia="Times New Roman" w:hAnsi="Cambria" w:cs="Times New Roman"/>
      <w:b/>
      <w:bCs/>
      <w:color w:val="365F91"/>
      <w:sz w:val="28"/>
      <w:szCs w:val="28"/>
      <w:lang w:val="en-US" w:eastAsia="en-US" w:bidi="ar-SA"/>
    </w:rPr>
  </w:style>
  <w:style w:type="character" w:customStyle="1" w:styleId="Heading2Char">
    <w:name w:val="Heading 2 Char"/>
    <w:basedOn w:val="DefaultParagraphFont"/>
    <w:link w:val="Heading2"/>
    <w:uiPriority w:val="99"/>
    <w:locked/>
    <w:rsid w:val="00C66B85"/>
    <w:rPr>
      <w:rFonts w:ascii="Cambria" w:eastAsia="Times New Roman" w:hAnsi="Cambria" w:cs="Times New Roman"/>
      <w:b/>
      <w:bCs/>
      <w:color w:val="4F81BD"/>
      <w:sz w:val="26"/>
      <w:szCs w:val="26"/>
      <w:lang w:val="en-US" w:eastAsia="en-US" w:bidi="ar-SA"/>
    </w:rPr>
  </w:style>
  <w:style w:type="character" w:customStyle="1" w:styleId="Heading3Char">
    <w:name w:val="Heading 3 Char"/>
    <w:basedOn w:val="DefaultParagraphFont"/>
    <w:link w:val="Heading3"/>
    <w:uiPriority w:val="99"/>
    <w:locked/>
    <w:rsid w:val="009F6704"/>
    <w:rPr>
      <w:rFonts w:ascii="Cambria" w:eastAsia="Times New Roman" w:hAnsi="Cambria" w:cs="Times New Roman"/>
      <w:b/>
      <w:bCs/>
      <w:color w:val="4F81BD"/>
      <w:sz w:val="22"/>
      <w:szCs w:val="22"/>
      <w:lang w:val="en-US" w:eastAsia="en-US" w:bidi="ar-SA"/>
    </w:rPr>
  </w:style>
  <w:style w:type="character" w:customStyle="1" w:styleId="Heading4Char">
    <w:name w:val="Heading 4 Char"/>
    <w:basedOn w:val="DefaultParagraphFont"/>
    <w:link w:val="Heading4"/>
    <w:uiPriority w:val="99"/>
    <w:locked/>
    <w:rsid w:val="009F6704"/>
    <w:rPr>
      <w:rFonts w:ascii="Cambria" w:eastAsia="Times New Roman" w:hAnsi="Cambria" w:cs="Times New Roman"/>
      <w:b/>
      <w:bCs/>
      <w:i/>
      <w:iCs/>
      <w:color w:val="4F81BD"/>
      <w:sz w:val="22"/>
      <w:szCs w:val="22"/>
      <w:lang w:val="en-US" w:eastAsia="en-US" w:bidi="ar-SA"/>
    </w:rPr>
  </w:style>
  <w:style w:type="character" w:customStyle="1" w:styleId="Heading5Char">
    <w:name w:val="Heading 5 Char"/>
    <w:basedOn w:val="DefaultParagraphFont"/>
    <w:link w:val="Heading5"/>
    <w:uiPriority w:val="99"/>
    <w:semiHidden/>
    <w:locked/>
    <w:rsid w:val="009F6704"/>
    <w:rPr>
      <w:rFonts w:ascii="Cambria" w:eastAsia="Times New Roman" w:hAnsi="Cambria" w:cs="Times New Roman"/>
      <w:color w:val="243F60"/>
      <w:sz w:val="22"/>
      <w:szCs w:val="22"/>
      <w:lang w:val="en-US" w:eastAsia="en-US" w:bidi="ar-SA"/>
    </w:rPr>
  </w:style>
  <w:style w:type="character" w:customStyle="1" w:styleId="Heading6Char">
    <w:name w:val="Heading 6 Char"/>
    <w:basedOn w:val="DefaultParagraphFont"/>
    <w:link w:val="Heading6"/>
    <w:uiPriority w:val="99"/>
    <w:semiHidden/>
    <w:locked/>
    <w:rsid w:val="009F6704"/>
    <w:rPr>
      <w:rFonts w:ascii="Cambria" w:eastAsia="Times New Roman" w:hAnsi="Cambria" w:cs="Times New Roman"/>
      <w:i/>
      <w:iCs/>
      <w:color w:val="243F60"/>
      <w:sz w:val="22"/>
      <w:szCs w:val="22"/>
      <w:lang w:val="en-US" w:eastAsia="en-US" w:bidi="ar-SA"/>
    </w:rPr>
  </w:style>
  <w:style w:type="character" w:customStyle="1" w:styleId="Heading7Char">
    <w:name w:val="Heading 7 Char"/>
    <w:basedOn w:val="DefaultParagraphFont"/>
    <w:link w:val="Heading7"/>
    <w:uiPriority w:val="99"/>
    <w:semiHidden/>
    <w:locked/>
    <w:rsid w:val="009F6704"/>
    <w:rPr>
      <w:rFonts w:ascii="Cambria" w:eastAsia="Times New Roman" w:hAnsi="Cambria" w:cs="Times New Roman"/>
      <w:i/>
      <w:iCs/>
      <w:color w:val="404040"/>
      <w:sz w:val="22"/>
      <w:szCs w:val="22"/>
      <w:lang w:val="en-US" w:eastAsia="en-US" w:bidi="ar-SA"/>
    </w:rPr>
  </w:style>
  <w:style w:type="character" w:customStyle="1" w:styleId="Heading8Char">
    <w:name w:val="Heading 8 Char"/>
    <w:basedOn w:val="DefaultParagraphFont"/>
    <w:link w:val="Heading8"/>
    <w:uiPriority w:val="99"/>
    <w:semiHidden/>
    <w:locked/>
    <w:rsid w:val="009F6704"/>
    <w:rPr>
      <w:rFonts w:ascii="Cambria" w:eastAsia="Times New Roman" w:hAnsi="Cambria" w:cs="Times New Roman"/>
      <w:color w:val="404040"/>
      <w:lang w:val="en-US" w:eastAsia="en-US" w:bidi="ar-SA"/>
    </w:rPr>
  </w:style>
  <w:style w:type="character" w:customStyle="1" w:styleId="Heading9Char">
    <w:name w:val="Heading 9 Char"/>
    <w:basedOn w:val="DefaultParagraphFont"/>
    <w:link w:val="Heading9"/>
    <w:uiPriority w:val="99"/>
    <w:semiHidden/>
    <w:locked/>
    <w:rsid w:val="009F6704"/>
    <w:rPr>
      <w:rFonts w:ascii="Cambria" w:eastAsia="Times New Roman" w:hAnsi="Cambria" w:cs="Times New Roman"/>
      <w:i/>
      <w:iCs/>
      <w:color w:val="404040"/>
      <w:lang w:val="en-US" w:eastAsia="en-US" w:bidi="ar-SA"/>
    </w:rPr>
  </w:style>
  <w:style w:type="paragraph" w:styleId="ListParagraph">
    <w:name w:val="List Paragraph"/>
    <w:basedOn w:val="Normal"/>
    <w:uiPriority w:val="99"/>
    <w:qFormat/>
    <w:rsid w:val="00813114"/>
    <w:pPr>
      <w:ind w:left="720"/>
      <w:contextualSpacing/>
    </w:pPr>
  </w:style>
  <w:style w:type="paragraph" w:styleId="TOCHeading">
    <w:name w:val="TOC Heading"/>
    <w:basedOn w:val="Heading1"/>
    <w:next w:val="Normal"/>
    <w:uiPriority w:val="99"/>
    <w:qFormat/>
    <w:rsid w:val="00062E8E"/>
    <w:pPr>
      <w:outlineLvl w:val="9"/>
    </w:pPr>
  </w:style>
  <w:style w:type="paragraph" w:styleId="BalloonText">
    <w:name w:val="Balloon Text"/>
    <w:basedOn w:val="Normal"/>
    <w:link w:val="BalloonTextChar"/>
    <w:uiPriority w:val="99"/>
    <w:semiHidden/>
    <w:rsid w:val="00062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2E8E"/>
    <w:rPr>
      <w:rFonts w:ascii="Tahoma" w:hAnsi="Tahoma" w:cs="Tahoma"/>
      <w:sz w:val="16"/>
      <w:szCs w:val="16"/>
    </w:rPr>
  </w:style>
  <w:style w:type="paragraph" w:styleId="NoSpacing">
    <w:name w:val="No Spacing"/>
    <w:uiPriority w:val="99"/>
    <w:qFormat/>
    <w:rsid w:val="00062E8E"/>
    <w:rPr>
      <w:rFonts w:eastAsia="Times New Roman"/>
    </w:rPr>
  </w:style>
  <w:style w:type="paragraph" w:styleId="FootnoteText">
    <w:name w:val="footnote text"/>
    <w:aliases w:val="Char Char"/>
    <w:basedOn w:val="Normal"/>
    <w:link w:val="FootnoteTextChar1"/>
    <w:uiPriority w:val="99"/>
    <w:semiHidden/>
    <w:rsid w:val="00062E8E"/>
    <w:pPr>
      <w:spacing w:after="0" w:line="240" w:lineRule="auto"/>
    </w:pPr>
    <w:rPr>
      <w:rFonts w:ascii="Times New Roman" w:eastAsia="Calibri" w:hAnsi="Times New Roman"/>
      <w:sz w:val="20"/>
      <w:szCs w:val="20"/>
    </w:rPr>
  </w:style>
  <w:style w:type="character" w:customStyle="1" w:styleId="FootnoteTextChar">
    <w:name w:val="Footnote Text Char"/>
    <w:aliases w:val="Char Char Char"/>
    <w:basedOn w:val="DefaultParagraphFont"/>
    <w:link w:val="FootnoteText"/>
    <w:uiPriority w:val="99"/>
    <w:semiHidden/>
    <w:locked/>
    <w:rsid w:val="00C21ADC"/>
    <w:rPr>
      <w:rFonts w:ascii="Times New Roman" w:hAnsi="Times New Roman" w:cs="Times New Roman"/>
    </w:rPr>
  </w:style>
  <w:style w:type="character" w:customStyle="1" w:styleId="FootnoteTextChar1">
    <w:name w:val="Footnote Text Char1"/>
    <w:aliases w:val="Char Char Char1"/>
    <w:basedOn w:val="DefaultParagraphFont"/>
    <w:link w:val="FootnoteText"/>
    <w:uiPriority w:val="99"/>
    <w:semiHidden/>
    <w:locked/>
    <w:rsid w:val="00062E8E"/>
    <w:rPr>
      <w:rFonts w:ascii="Times New Roman" w:hAnsi="Times New Roman" w:cs="Times New Roman"/>
    </w:rPr>
  </w:style>
  <w:style w:type="character" w:styleId="FootnoteReference">
    <w:name w:val="footnote reference"/>
    <w:basedOn w:val="DefaultParagraphFont"/>
    <w:uiPriority w:val="99"/>
    <w:semiHidden/>
    <w:rsid w:val="00062E8E"/>
    <w:rPr>
      <w:rFonts w:cs="Times New Roman"/>
      <w:vertAlign w:val="superscript"/>
    </w:rPr>
  </w:style>
  <w:style w:type="paragraph" w:customStyle="1" w:styleId="Default">
    <w:name w:val="Default"/>
    <w:uiPriority w:val="99"/>
    <w:rsid w:val="00062E8E"/>
    <w:pPr>
      <w:autoSpaceDE w:val="0"/>
      <w:autoSpaceDN w:val="0"/>
      <w:adjustRightInd w:val="0"/>
    </w:pPr>
    <w:rPr>
      <w:rFonts w:ascii="Arial" w:hAnsi="Arial" w:cs="Arial"/>
      <w:color w:val="000000"/>
      <w:sz w:val="24"/>
      <w:szCs w:val="24"/>
    </w:rPr>
  </w:style>
  <w:style w:type="table" w:styleId="TableGrid">
    <w:name w:val="Table Grid"/>
    <w:basedOn w:val="TableNormal"/>
    <w:uiPriority w:val="99"/>
    <w:rsid w:val="00062E8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062E8E"/>
    <w:rPr>
      <w:rFonts w:cs="Times New Roman"/>
      <w:color w:val="0000FF"/>
      <w:u w:val="single"/>
    </w:rPr>
  </w:style>
  <w:style w:type="paragraph" w:customStyle="1" w:styleId="HED2Text">
    <w:name w:val="HED 2 Text"/>
    <w:link w:val="HED2TextChar"/>
    <w:autoRedefine/>
    <w:uiPriority w:val="99"/>
    <w:rsid w:val="00062E8E"/>
    <w:pPr>
      <w:spacing w:after="240"/>
    </w:pPr>
    <w:rPr>
      <w:rFonts w:ascii="Times New Roman" w:hAnsi="Times New Roman" w:cs="Arial"/>
      <w:iCs/>
      <w:kern w:val="32"/>
      <w:sz w:val="24"/>
      <w:szCs w:val="32"/>
    </w:rPr>
  </w:style>
  <w:style w:type="paragraph" w:customStyle="1" w:styleId="FIGHED">
    <w:name w:val="FIG HED"/>
    <w:next w:val="Normal"/>
    <w:link w:val="FIGHEDChar"/>
    <w:autoRedefine/>
    <w:uiPriority w:val="99"/>
    <w:rsid w:val="00062E8E"/>
    <w:pPr>
      <w:keepNext/>
      <w:jc w:val="center"/>
    </w:pPr>
    <w:rPr>
      <w:rFonts w:ascii="Times New Roman" w:hAnsi="Times New Roman" w:cs="Arial"/>
      <w:b/>
      <w:kern w:val="32"/>
      <w:sz w:val="24"/>
      <w:szCs w:val="32"/>
    </w:rPr>
  </w:style>
  <w:style w:type="character" w:customStyle="1" w:styleId="FIGHEDChar">
    <w:name w:val="FIG HED Char"/>
    <w:basedOn w:val="DefaultParagraphFont"/>
    <w:link w:val="FIGHED"/>
    <w:uiPriority w:val="99"/>
    <w:locked/>
    <w:rsid w:val="00062E8E"/>
    <w:rPr>
      <w:rFonts w:ascii="Times New Roman" w:hAnsi="Times New Roman" w:cs="Arial"/>
      <w:b/>
      <w:kern w:val="32"/>
      <w:sz w:val="32"/>
      <w:szCs w:val="32"/>
      <w:lang w:val="en-US" w:eastAsia="en-US" w:bidi="ar-SA"/>
    </w:rPr>
  </w:style>
  <w:style w:type="character" w:customStyle="1" w:styleId="HED2TextChar">
    <w:name w:val="HED 2 Text Char"/>
    <w:basedOn w:val="DefaultParagraphFont"/>
    <w:link w:val="HED2Text"/>
    <w:uiPriority w:val="99"/>
    <w:locked/>
    <w:rsid w:val="00062E8E"/>
    <w:rPr>
      <w:rFonts w:ascii="Times New Roman" w:hAnsi="Times New Roman" w:cs="Arial"/>
      <w:iCs/>
      <w:kern w:val="32"/>
      <w:sz w:val="32"/>
      <w:szCs w:val="32"/>
      <w:lang w:val="en-US" w:eastAsia="en-US" w:bidi="ar-SA"/>
    </w:rPr>
  </w:style>
  <w:style w:type="paragraph" w:styleId="TOC1">
    <w:name w:val="toc 1"/>
    <w:basedOn w:val="Normal"/>
    <w:next w:val="Normal"/>
    <w:autoRedefine/>
    <w:uiPriority w:val="99"/>
    <w:rsid w:val="004777ED"/>
    <w:pPr>
      <w:tabs>
        <w:tab w:val="left" w:pos="660"/>
        <w:tab w:val="right" w:leader="dot" w:pos="9350"/>
      </w:tabs>
      <w:spacing w:after="100"/>
    </w:pPr>
  </w:style>
  <w:style w:type="paragraph" w:styleId="TOC2">
    <w:name w:val="toc 2"/>
    <w:basedOn w:val="Normal"/>
    <w:next w:val="Normal"/>
    <w:autoRedefine/>
    <w:uiPriority w:val="99"/>
    <w:rsid w:val="001C3803"/>
    <w:pPr>
      <w:tabs>
        <w:tab w:val="left" w:pos="720"/>
        <w:tab w:val="right" w:leader="dot" w:pos="9350"/>
      </w:tabs>
      <w:spacing w:after="100"/>
    </w:pPr>
  </w:style>
  <w:style w:type="paragraph" w:styleId="TOC3">
    <w:name w:val="toc 3"/>
    <w:basedOn w:val="Normal"/>
    <w:next w:val="Normal"/>
    <w:autoRedefine/>
    <w:uiPriority w:val="99"/>
    <w:rsid w:val="00A646FA"/>
    <w:pPr>
      <w:spacing w:after="100"/>
      <w:ind w:left="440"/>
    </w:pPr>
  </w:style>
  <w:style w:type="character" w:styleId="Strong">
    <w:name w:val="Strong"/>
    <w:basedOn w:val="DefaultParagraphFont"/>
    <w:uiPriority w:val="99"/>
    <w:qFormat/>
    <w:rsid w:val="0022776D"/>
    <w:rPr>
      <w:rFonts w:cs="Times New Roman"/>
      <w:b/>
      <w:bCs/>
    </w:rPr>
  </w:style>
  <w:style w:type="paragraph" w:styleId="Header">
    <w:name w:val="header"/>
    <w:basedOn w:val="Normal"/>
    <w:link w:val="HeaderChar"/>
    <w:uiPriority w:val="99"/>
    <w:semiHidden/>
    <w:rsid w:val="004777ED"/>
    <w:pPr>
      <w:tabs>
        <w:tab w:val="center" w:pos="4680"/>
        <w:tab w:val="right" w:pos="9360"/>
      </w:tabs>
    </w:pPr>
  </w:style>
  <w:style w:type="character" w:customStyle="1" w:styleId="HeaderChar">
    <w:name w:val="Header Char"/>
    <w:basedOn w:val="DefaultParagraphFont"/>
    <w:link w:val="Header"/>
    <w:uiPriority w:val="99"/>
    <w:semiHidden/>
    <w:locked/>
    <w:rsid w:val="004777ED"/>
    <w:rPr>
      <w:rFonts w:cs="Times New Roman"/>
      <w:sz w:val="22"/>
      <w:szCs w:val="22"/>
    </w:rPr>
  </w:style>
  <w:style w:type="paragraph" w:styleId="Footer">
    <w:name w:val="footer"/>
    <w:basedOn w:val="Normal"/>
    <w:link w:val="FooterChar"/>
    <w:uiPriority w:val="99"/>
    <w:semiHidden/>
    <w:rsid w:val="004777ED"/>
    <w:pPr>
      <w:tabs>
        <w:tab w:val="center" w:pos="4680"/>
        <w:tab w:val="right" w:pos="9360"/>
      </w:tabs>
    </w:pPr>
  </w:style>
  <w:style w:type="character" w:customStyle="1" w:styleId="FooterChar">
    <w:name w:val="Footer Char"/>
    <w:basedOn w:val="DefaultParagraphFont"/>
    <w:link w:val="Footer"/>
    <w:uiPriority w:val="99"/>
    <w:semiHidden/>
    <w:locked/>
    <w:rsid w:val="004777ED"/>
    <w:rPr>
      <w:rFonts w:cs="Times New Roman"/>
      <w:sz w:val="22"/>
      <w:szCs w:val="22"/>
    </w:rPr>
  </w:style>
  <w:style w:type="character" w:styleId="Emphasis">
    <w:name w:val="Emphasis"/>
    <w:basedOn w:val="DefaultParagraphFont"/>
    <w:uiPriority w:val="99"/>
    <w:qFormat/>
    <w:rsid w:val="00516D4A"/>
    <w:rPr>
      <w:rFonts w:cs="Times New Roman"/>
      <w:i/>
      <w:iCs/>
    </w:rPr>
  </w:style>
  <w:style w:type="character" w:styleId="CommentReference">
    <w:name w:val="annotation reference"/>
    <w:basedOn w:val="DefaultParagraphFont"/>
    <w:uiPriority w:val="99"/>
    <w:semiHidden/>
    <w:rsid w:val="00B26AE3"/>
    <w:rPr>
      <w:rFonts w:cs="Times New Roman"/>
      <w:sz w:val="16"/>
      <w:szCs w:val="16"/>
    </w:rPr>
  </w:style>
  <w:style w:type="paragraph" w:styleId="CommentText">
    <w:name w:val="annotation text"/>
    <w:basedOn w:val="Normal"/>
    <w:link w:val="CommentTextChar"/>
    <w:uiPriority w:val="99"/>
    <w:semiHidden/>
    <w:rsid w:val="00B26AE3"/>
    <w:rPr>
      <w:sz w:val="20"/>
      <w:szCs w:val="20"/>
    </w:rPr>
  </w:style>
  <w:style w:type="character" w:customStyle="1" w:styleId="CommentTextChar">
    <w:name w:val="Comment Text Char"/>
    <w:basedOn w:val="DefaultParagraphFont"/>
    <w:link w:val="CommentText"/>
    <w:uiPriority w:val="99"/>
    <w:semiHidden/>
    <w:rsid w:val="00847859"/>
    <w:rPr>
      <w:rFonts w:eastAsia="Times New Roman"/>
      <w:sz w:val="20"/>
      <w:szCs w:val="20"/>
    </w:rPr>
  </w:style>
  <w:style w:type="paragraph" w:styleId="CommentSubject">
    <w:name w:val="annotation subject"/>
    <w:basedOn w:val="CommentText"/>
    <w:next w:val="CommentText"/>
    <w:link w:val="CommentSubjectChar"/>
    <w:uiPriority w:val="99"/>
    <w:semiHidden/>
    <w:rsid w:val="00B26AE3"/>
    <w:rPr>
      <w:b/>
      <w:bCs/>
    </w:rPr>
  </w:style>
  <w:style w:type="character" w:customStyle="1" w:styleId="CommentSubjectChar">
    <w:name w:val="Comment Subject Char"/>
    <w:basedOn w:val="CommentTextChar"/>
    <w:link w:val="CommentSubject"/>
    <w:uiPriority w:val="99"/>
    <w:semiHidden/>
    <w:rsid w:val="00847859"/>
    <w:rPr>
      <w:b/>
      <w:bCs/>
    </w:rPr>
  </w:style>
  <w:style w:type="character" w:styleId="PageNumber">
    <w:name w:val="page number"/>
    <w:basedOn w:val="DefaultParagraphFont"/>
    <w:uiPriority w:val="99"/>
    <w:rsid w:val="00FD27E3"/>
    <w:rPr>
      <w:rFonts w:cs="Times New Roman"/>
    </w:rPr>
  </w:style>
  <w:style w:type="paragraph" w:styleId="Revision">
    <w:name w:val="Revision"/>
    <w:hidden/>
    <w:uiPriority w:val="99"/>
    <w:semiHidden/>
    <w:rsid w:val="00734138"/>
    <w:rPr>
      <w:rFonts w:eastAsia="Times New Roman"/>
    </w:rPr>
  </w:style>
  <w:style w:type="character" w:styleId="FollowedHyperlink">
    <w:name w:val="FollowedHyperlink"/>
    <w:basedOn w:val="DefaultParagraphFont"/>
    <w:uiPriority w:val="99"/>
    <w:rsid w:val="00343F04"/>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3112556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hyperlink" Target="http://www.westgov.org/wga/initiatives/wrez/gtm/model.htm" TargetMode="External"/><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29.emf"/><Relationship Id="rId47" Type="http://schemas.openxmlformats.org/officeDocument/2006/relationships/package" Target="embeddings/Microsoft_PowerPoint_Slide22.sldx"/><Relationship Id="rId50" Type="http://schemas.openxmlformats.org/officeDocument/2006/relationships/image" Target="media/image35.emf"/><Relationship Id="rId55" Type="http://schemas.openxmlformats.org/officeDocument/2006/relationships/package" Target="embeddings/Microsoft_PowerPoint_Slide66.sldx"/><Relationship Id="rId63" Type="http://schemas.openxmlformats.org/officeDocument/2006/relationships/image" Target="media/image42.jpeg"/><Relationship Id="rId68" Type="http://schemas.openxmlformats.org/officeDocument/2006/relationships/image" Target="media/image47.emf"/><Relationship Id="rId76" Type="http://schemas.openxmlformats.org/officeDocument/2006/relationships/theme" Target="theme/theme1.xml"/><Relationship Id="rId7" Type="http://schemas.openxmlformats.org/officeDocument/2006/relationships/hyperlink" Target="http://www.columbiagrid.org/event-details.cfm?EventID=462&amp;fromcalendar=1" TargetMode="External"/><Relationship Id="rId71" Type="http://schemas.openxmlformats.org/officeDocument/2006/relationships/hyperlink" Target="http://www.nrel.gov/docs/fy10osti/46877.pdf" TargetMode="Externa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7.emf"/><Relationship Id="rId11" Type="http://schemas.openxmlformats.org/officeDocument/2006/relationships/image" Target="media/image2.emf"/><Relationship Id="rId24" Type="http://schemas.openxmlformats.org/officeDocument/2006/relationships/package" Target="embeddings/Microsoft_Excel_Worksheet11.xlsx"/><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package" Target="embeddings/Microsoft_PowerPoint_Slide55.sldx"/><Relationship Id="rId58" Type="http://schemas.openxmlformats.org/officeDocument/2006/relationships/image" Target="media/image39.emf"/><Relationship Id="rId66" Type="http://schemas.openxmlformats.org/officeDocument/2006/relationships/image" Target="media/image45.emf"/><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energy.ca.gov/reti/steering/2010-02-26_meeting/documents/2010-02-26_Pletka_RETI_Phase_2A_Update_SSC_Presentation.pdf" TargetMode="External"/><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package" Target="embeddings/Microsoft_PowerPoint_Slide33.sldx"/><Relationship Id="rId57" Type="http://schemas.openxmlformats.org/officeDocument/2006/relationships/package" Target="embeddings/Microsoft_PowerPoint_Slide77.sldx"/><Relationship Id="rId61" Type="http://schemas.openxmlformats.org/officeDocument/2006/relationships/image" Target="media/image40.jpeg"/><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6.emf"/><Relationship Id="rId60" Type="http://schemas.openxmlformats.org/officeDocument/2006/relationships/hyperlink" Target="http://www.wecc.biz/committees/BOD/TEPPC/031110/default.aspx?InstanceID=1" TargetMode="External"/><Relationship Id="rId65" Type="http://schemas.openxmlformats.org/officeDocument/2006/relationships/image" Target="media/image44.emf"/><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wind.nrel.gov/wind/systemsintegration/wwsis.html" TargetMode="External"/><Relationship Id="rId14" Type="http://schemas.openxmlformats.org/officeDocument/2006/relationships/hyperlink" Target="http://eetd.lbl.gov/ea/ems/reports/lbnl-3077e-ppt.pdf" TargetMode="External"/><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image" Target="media/image34.emf"/><Relationship Id="rId56" Type="http://schemas.openxmlformats.org/officeDocument/2006/relationships/image" Target="media/image38.emf"/><Relationship Id="rId64" Type="http://schemas.openxmlformats.org/officeDocument/2006/relationships/image" Target="media/image43.emf"/><Relationship Id="rId69" Type="http://schemas.openxmlformats.org/officeDocument/2006/relationships/image" Target="media/image48.emf"/><Relationship Id="rId8" Type="http://schemas.openxmlformats.org/officeDocument/2006/relationships/hyperlink" Target="http://www.wecc.biz/committees/BOD/TEPPC/Shared%20Documents/TEPPC%20Annual%20Reports/2009/2009%20TEPPC%20Study%20Results%20Report.pdf" TargetMode="External"/><Relationship Id="rId51" Type="http://schemas.openxmlformats.org/officeDocument/2006/relationships/package" Target="embeddings/Microsoft_PowerPoint_Slide44.sldx"/><Relationship Id="rId72" Type="http://schemas.openxmlformats.org/officeDocument/2006/relationships/hyperlink" Target="http://www.portstoplains.com/PTP_News/Montana_Wind_Report_February_2010_Final.pdf"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3.emf"/><Relationship Id="rId59" Type="http://schemas.openxmlformats.org/officeDocument/2006/relationships/package" Target="embeddings/Microsoft_PowerPoint_Slide88.sldx"/><Relationship Id="rId67" Type="http://schemas.openxmlformats.org/officeDocument/2006/relationships/image" Target="media/image46.wmf"/><Relationship Id="rId20" Type="http://schemas.openxmlformats.org/officeDocument/2006/relationships/image" Target="media/image9.emf"/><Relationship Id="rId41" Type="http://schemas.openxmlformats.org/officeDocument/2006/relationships/image" Target="media/image28.emf"/><Relationship Id="rId54" Type="http://schemas.openxmlformats.org/officeDocument/2006/relationships/image" Target="media/image37.emf"/><Relationship Id="rId62" Type="http://schemas.openxmlformats.org/officeDocument/2006/relationships/image" Target="media/image41.jpeg"/><Relationship Id="rId70" Type="http://schemas.openxmlformats.org/officeDocument/2006/relationships/image" Target="media/image49.e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wecc.biz/committees/BOD/TEPPC/Shared%20Documents/Renewable%20Energy/Renewable%20Energy%20Generation%20Paper.pdf" TargetMode="External"/><Relationship Id="rId2" Type="http://schemas.openxmlformats.org/officeDocument/2006/relationships/hyperlink" Target="http://www.nwcouncil.org/energy/powerplan/6/default.htm" TargetMode="External"/><Relationship Id="rId1" Type="http://schemas.openxmlformats.org/officeDocument/2006/relationships/hyperlink" Target="http://www.columbiagrid.org/event-details.cfm?EventID=439&amp;fromcalendar=1" TargetMode="External"/><Relationship Id="rId5" Type="http://schemas.openxmlformats.org/officeDocument/2006/relationships/hyperlink" Target="http://wind.nrel.gov/public/WWIS/3TIERValidation/" TargetMode="External"/><Relationship Id="rId4" Type="http://schemas.openxmlformats.org/officeDocument/2006/relationships/hyperlink" Target="http://www.nrel.gov/wind/integrationdatasets/western/methodolog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60</Pages>
  <Words>17438</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meeting</dc:creator>
  <cp:keywords/>
  <dc:description/>
  <cp:lastModifiedBy>Eric King</cp:lastModifiedBy>
  <cp:revision>2</cp:revision>
  <cp:lastPrinted>2011-01-28T16:57:00Z</cp:lastPrinted>
  <dcterms:created xsi:type="dcterms:W3CDTF">2011-05-26T15:10:00Z</dcterms:created>
  <dcterms:modified xsi:type="dcterms:W3CDTF">2011-05-26T15:10:00Z</dcterms:modified>
</cp:coreProperties>
</file>