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C8" w:rsidRPr="009C05D9" w:rsidRDefault="004E0552" w:rsidP="009B6604">
      <w:pPr>
        <w:pStyle w:val="Title"/>
        <w:rPr>
          <w:sz w:val="48"/>
        </w:rPr>
      </w:pPr>
      <w:fldSimple w:instr=" FILENAME   \* MERGEFORMAT ">
        <w:r w:rsidR="009C05D9" w:rsidRPr="009C05D9">
          <w:rPr>
            <w:noProof/>
            <w:sz w:val="48"/>
          </w:rPr>
          <w:t>The sources of premium value 110726.docx</w:t>
        </w:r>
      </w:fldSimple>
    </w:p>
    <w:p w:rsidR="009B6604" w:rsidRDefault="004E0552" w:rsidP="009B6604">
      <w:fldSimple w:instr=" DATE  \@ &quot;dddd, MMMM dd, yyyy&quot;  \* MERGEFORMAT " w:fldLock="1">
        <w:r w:rsidR="00520A18">
          <w:rPr>
            <w:noProof/>
          </w:rPr>
          <w:t>Tuesday, July 26, 2011</w:t>
        </w:r>
      </w:fldSimple>
    </w:p>
    <w:p w:rsidR="0050663C" w:rsidRDefault="0050663C" w:rsidP="009B6604">
      <w:r>
        <w:t>Michael Schilmoeller</w:t>
      </w:r>
    </w:p>
    <w:p w:rsidR="007B5924" w:rsidRDefault="007B5924" w:rsidP="009B6604"/>
    <w:p w:rsidR="00254682" w:rsidRDefault="00254682" w:rsidP="009B6604">
      <w:r>
        <w:t xml:space="preserve">It is well-understood that much of the value of energy efficiency stems from its below-market cost.  In the Sixth Power Plan, </w:t>
      </w:r>
      <w:r w:rsidR="00177D66">
        <w:t>for example, the Council estimates the availability of over 2200 MWa of conservation in the Region at or below $30/MWh.</w:t>
      </w:r>
    </w:p>
    <w:p w:rsidR="00254682" w:rsidRDefault="00254682" w:rsidP="009B6604"/>
    <w:p w:rsidR="00A156FA" w:rsidRDefault="00254682" w:rsidP="009B6604">
      <w:r>
        <w:t xml:space="preserve">Less is understood about the Council’s cost-effectiveness risk premium over wholesale market price. </w:t>
      </w:r>
      <w:r w:rsidR="00A156FA">
        <w:t>The following are generic sources of</w:t>
      </w:r>
      <w:r>
        <w:t xml:space="preserve"> value that the</w:t>
      </w:r>
      <w:r w:rsidR="00A156FA">
        <w:t xml:space="preserve"> risk premium </w:t>
      </w:r>
      <w:r>
        <w:t>provides</w:t>
      </w:r>
      <w:r w:rsidR="00A156FA">
        <w:t>.</w:t>
      </w:r>
    </w:p>
    <w:p w:rsidR="00A156FA" w:rsidRDefault="00A156FA" w:rsidP="009B6604"/>
    <w:p w:rsidR="00A156FA" w:rsidRPr="009C05D9" w:rsidRDefault="00A156FA" w:rsidP="00A156FA">
      <w:pPr>
        <w:pStyle w:val="ListParagraph"/>
        <w:numPr>
          <w:ilvl w:val="0"/>
          <w:numId w:val="1"/>
        </w:numPr>
        <w:rPr>
          <w:rStyle w:val="Emphasis"/>
          <w:color w:val="548DD4" w:themeColor="text2" w:themeTint="99"/>
          <w:sz w:val="28"/>
          <w:szCs w:val="28"/>
        </w:rPr>
      </w:pPr>
      <w:r w:rsidRPr="009C05D9">
        <w:rPr>
          <w:rStyle w:val="Emphasis"/>
          <w:color w:val="548DD4" w:themeColor="text2" w:themeTint="99"/>
          <w:sz w:val="28"/>
          <w:szCs w:val="28"/>
        </w:rPr>
        <w:t>Capacity deferral</w:t>
      </w:r>
    </w:p>
    <w:p w:rsidR="00A156FA" w:rsidRDefault="0050663C" w:rsidP="00A156FA">
      <w:pPr>
        <w:pStyle w:val="ListParagraph"/>
        <w:numPr>
          <w:ilvl w:val="1"/>
          <w:numId w:val="1"/>
        </w:numPr>
      </w:pPr>
      <w:r>
        <w:t>If a utility anticipates</w:t>
      </w:r>
      <w:r w:rsidR="00A156FA">
        <w:t xml:space="preserve"> capacity </w:t>
      </w:r>
      <w:r>
        <w:t xml:space="preserve">requirements </w:t>
      </w:r>
      <w:r w:rsidR="00A156FA">
        <w:t>for energy or for risk mitigation (reserves)</w:t>
      </w:r>
      <w:r>
        <w:t>, conservation capacity has value</w:t>
      </w:r>
    </w:p>
    <w:p w:rsidR="00A156FA" w:rsidRDefault="00A156FA" w:rsidP="00A156FA">
      <w:pPr>
        <w:pStyle w:val="ListParagraph"/>
        <w:numPr>
          <w:ilvl w:val="1"/>
          <w:numId w:val="1"/>
        </w:numPr>
      </w:pPr>
      <w:r w:rsidRPr="009C05D9">
        <w:rPr>
          <w:b/>
        </w:rPr>
        <w:t>Shape of conservation</w:t>
      </w:r>
      <w:r w:rsidR="00441AF2">
        <w:t>: t</w:t>
      </w:r>
      <w:r>
        <w:t>he greater the on-peak conservation contribution, the greater the deferral on a per-MWh or average MW energy basis</w:t>
      </w:r>
      <w:r w:rsidR="0050663C">
        <w:t>.  Because energy efficiency tends to have greatest effect when requirements are large, it tends to have more reduction on-peak than off-peak</w:t>
      </w:r>
      <w:r w:rsidR="00D50F5C">
        <w:t xml:space="preserve">.  (See </w:t>
      </w:r>
      <w:hyperlink r:id="rId8" w:history="1">
        <w:r w:rsidR="00D50F5C" w:rsidRPr="00D50F5C">
          <w:rPr>
            <w:rStyle w:val="Hyperlink"/>
          </w:rPr>
          <w:t>Conservation Energy Distributions.xls</w:t>
        </w:r>
      </w:hyperlink>
      <w:r w:rsidR="00D50F5C">
        <w:t xml:space="preserve"> )</w:t>
      </w:r>
    </w:p>
    <w:p w:rsidR="00A156FA" w:rsidRDefault="00A156FA" w:rsidP="00A156FA">
      <w:pPr>
        <w:pStyle w:val="ListParagraph"/>
        <w:numPr>
          <w:ilvl w:val="1"/>
          <w:numId w:val="1"/>
        </w:numPr>
      </w:pPr>
      <w:r>
        <w:t xml:space="preserve">Conservation recovers its value at all price levels.  In futures with anticipated low price, due perhaps to RPS legislation or technology innovation, </w:t>
      </w:r>
      <w:r w:rsidRPr="009C05D9">
        <w:rPr>
          <w:b/>
        </w:rPr>
        <w:t>dispatchable resources would dispatch very infrequently</w:t>
      </w:r>
      <w:r w:rsidR="00CC0702">
        <w:t xml:space="preserve"> and have less opportunity to cover their fixed cost.  </w:t>
      </w:r>
      <w:r w:rsidR="00177D66">
        <w:t>(</w:t>
      </w:r>
      <w:r w:rsidR="00CC0702">
        <w:t>More generally, see the next bullet.</w:t>
      </w:r>
      <w:r w:rsidR="00177D66">
        <w:t>)</w:t>
      </w:r>
    </w:p>
    <w:p w:rsidR="00A156FA" w:rsidRDefault="00A156FA" w:rsidP="00A156FA">
      <w:pPr>
        <w:pStyle w:val="ListParagraph"/>
        <w:numPr>
          <w:ilvl w:val="1"/>
          <w:numId w:val="1"/>
        </w:numPr>
      </w:pPr>
      <w:r>
        <w:t xml:space="preserve">The </w:t>
      </w:r>
      <w:r w:rsidRPr="009C05D9">
        <w:rPr>
          <w:b/>
        </w:rPr>
        <w:t>high-risk futures</w:t>
      </w:r>
      <w:r>
        <w:t xml:space="preserve"> for the region are those with high load requirements</w:t>
      </w:r>
      <w:r w:rsidR="0050663C">
        <w:t>/</w:t>
      </w:r>
      <w:r>
        <w:t>high prices</w:t>
      </w:r>
      <w:r w:rsidR="0050663C">
        <w:t xml:space="preserve"> for electricity and </w:t>
      </w:r>
      <w:r>
        <w:t>low requirements</w:t>
      </w:r>
      <w:r w:rsidR="0050663C">
        <w:t>/</w:t>
      </w:r>
      <w:r>
        <w:t xml:space="preserve">low prices.  Neither of these makes high-heat rate dispatchable resources </w:t>
      </w:r>
      <w:r w:rsidR="0050663C">
        <w:t>(SCCT</w:t>
      </w:r>
      <w:r w:rsidR="00177D66">
        <w:t>s</w:t>
      </w:r>
      <w:r w:rsidR="0050663C">
        <w:t xml:space="preserve">) </w:t>
      </w:r>
      <w:r>
        <w:t>attractive</w:t>
      </w:r>
      <w:r w:rsidR="00177D66">
        <w:t xml:space="preserve"> as a risk-</w:t>
      </w:r>
      <w:r w:rsidR="00CC0702">
        <w:t>mitigation</w:t>
      </w:r>
      <w:r w:rsidR="00177D66">
        <w:t xml:space="preserve"> measure</w:t>
      </w:r>
      <w:r>
        <w:t xml:space="preserve">, regardless of </w:t>
      </w:r>
      <w:r w:rsidR="0050663C">
        <w:t xml:space="preserve">their </w:t>
      </w:r>
      <w:r>
        <w:t>“expected” capacity factor.</w:t>
      </w:r>
      <w:r w:rsidR="009C05D9">
        <w:br/>
      </w:r>
    </w:p>
    <w:p w:rsidR="00A156FA" w:rsidRPr="009C05D9" w:rsidRDefault="009C05D9" w:rsidP="00A156FA">
      <w:pPr>
        <w:pStyle w:val="ListParagraph"/>
        <w:numPr>
          <w:ilvl w:val="0"/>
          <w:numId w:val="1"/>
        </w:numPr>
        <w:rPr>
          <w:rStyle w:val="Emphasis"/>
          <w:color w:val="548DD4" w:themeColor="text2" w:themeTint="99"/>
          <w:sz w:val="28"/>
          <w:szCs w:val="28"/>
        </w:rPr>
      </w:pPr>
      <w:r>
        <w:rPr>
          <w:rStyle w:val="Emphasis"/>
          <w:color w:val="548DD4" w:themeColor="text2" w:themeTint="99"/>
          <w:sz w:val="28"/>
          <w:szCs w:val="28"/>
        </w:rPr>
        <w:t>Fuel p</w:t>
      </w:r>
      <w:r w:rsidR="00A156FA" w:rsidRPr="009C05D9">
        <w:rPr>
          <w:rStyle w:val="Emphasis"/>
          <w:color w:val="548DD4" w:themeColor="text2" w:themeTint="99"/>
          <w:sz w:val="28"/>
          <w:szCs w:val="28"/>
        </w:rPr>
        <w:t>rice and carbon risk protection</w:t>
      </w:r>
    </w:p>
    <w:p w:rsidR="00CC0702" w:rsidRDefault="00254682" w:rsidP="00A156FA">
      <w:pPr>
        <w:pStyle w:val="ListParagraph"/>
        <w:numPr>
          <w:ilvl w:val="1"/>
          <w:numId w:val="1"/>
        </w:numPr>
      </w:pPr>
      <w:r>
        <w:t>The fixed cost of conservation protects</w:t>
      </w:r>
      <w:r w:rsidR="00A156FA">
        <w:t xml:space="preserve"> </w:t>
      </w:r>
      <w:r w:rsidR="00CC0702">
        <w:t xml:space="preserve">utilities short of resources </w:t>
      </w:r>
      <w:r w:rsidR="00A156FA">
        <w:t>from electricity price</w:t>
      </w:r>
      <w:r w:rsidR="0062777B">
        <w:t xml:space="preserve"> risk</w:t>
      </w:r>
      <w:r w:rsidR="00A156FA">
        <w:rPr>
          <w:rStyle w:val="FootnoteReference"/>
        </w:rPr>
        <w:footnoteReference w:id="1"/>
      </w:r>
    </w:p>
    <w:p w:rsidR="00CC0702" w:rsidRDefault="00CC0702" w:rsidP="00CC0702">
      <w:pPr>
        <w:pStyle w:val="ListParagraph"/>
        <w:numPr>
          <w:ilvl w:val="1"/>
          <w:numId w:val="1"/>
        </w:numPr>
      </w:pPr>
      <w:r>
        <w:t xml:space="preserve">An </w:t>
      </w:r>
      <w:r w:rsidRPr="009C05D9">
        <w:rPr>
          <w:b/>
        </w:rPr>
        <w:t>uncertain future carbon penalty</w:t>
      </w:r>
      <w:r>
        <w:t>, which would only increase these prices, contributes significantly to this value</w:t>
      </w:r>
    </w:p>
    <w:p w:rsidR="00A156FA" w:rsidRDefault="00CC0702" w:rsidP="00A156FA">
      <w:pPr>
        <w:pStyle w:val="ListParagraph"/>
        <w:numPr>
          <w:ilvl w:val="1"/>
          <w:numId w:val="1"/>
        </w:numPr>
      </w:pPr>
      <w:r>
        <w:t xml:space="preserve">All utilities subject to </w:t>
      </w:r>
      <w:r w:rsidRPr="009C05D9">
        <w:rPr>
          <w:b/>
          <w:i/>
        </w:rPr>
        <w:t>f</w:t>
      </w:r>
      <w:r w:rsidR="00A156FA" w:rsidRPr="009C05D9">
        <w:rPr>
          <w:b/>
          <w:i/>
        </w:rPr>
        <w:t>uel</w:t>
      </w:r>
      <w:r w:rsidR="00A156FA" w:rsidRPr="009C05D9">
        <w:rPr>
          <w:b/>
        </w:rPr>
        <w:t xml:space="preserve"> price volatility</w:t>
      </w:r>
      <w:r>
        <w:t xml:space="preserve"> benefit</w:t>
      </w:r>
      <w:r w:rsidR="009C05D9">
        <w:br/>
      </w:r>
    </w:p>
    <w:p w:rsidR="00256B41" w:rsidRPr="009C05D9" w:rsidRDefault="00263727" w:rsidP="009C05D9">
      <w:pPr>
        <w:pStyle w:val="ListParagraph"/>
        <w:numPr>
          <w:ilvl w:val="0"/>
          <w:numId w:val="1"/>
        </w:numPr>
        <w:rPr>
          <w:rStyle w:val="Emphasis"/>
          <w:color w:val="548DD4" w:themeColor="text2" w:themeTint="99"/>
          <w:sz w:val="28"/>
          <w:szCs w:val="28"/>
        </w:rPr>
      </w:pPr>
      <w:r w:rsidRPr="009C05D9">
        <w:rPr>
          <w:rStyle w:val="Emphasis"/>
          <w:color w:val="548DD4" w:themeColor="text2" w:themeTint="99"/>
          <w:sz w:val="28"/>
          <w:szCs w:val="28"/>
        </w:rPr>
        <w:t>Purchases at below-average prices</w:t>
      </w:r>
    </w:p>
    <w:p w:rsidR="00256B41" w:rsidRDefault="00256B41" w:rsidP="000E06A7">
      <w:pPr>
        <w:pStyle w:val="ListParagraph"/>
        <w:keepNext/>
        <w:keepLines/>
        <w:numPr>
          <w:ilvl w:val="1"/>
          <w:numId w:val="1"/>
        </w:numPr>
      </w:pPr>
      <w:r>
        <w:t>If the supply curve for conservation is convex, rather than linear, there is a “</w:t>
      </w:r>
      <w:r w:rsidRPr="009C05D9">
        <w:rPr>
          <w:b/>
        </w:rPr>
        <w:t>constant dollar averaging</w:t>
      </w:r>
      <w:r>
        <w:t>” effect.</w:t>
      </w:r>
      <w:r>
        <w:rPr>
          <w:rStyle w:val="FootnoteReference"/>
        </w:rPr>
        <w:footnoteReference w:id="2"/>
      </w:r>
    </w:p>
    <w:p w:rsidR="00256B41" w:rsidRDefault="00256B41" w:rsidP="00256B41">
      <w:pPr>
        <w:pStyle w:val="ListParagraph"/>
        <w:numPr>
          <w:ilvl w:val="1"/>
          <w:numId w:val="1"/>
        </w:numPr>
      </w:pPr>
      <w:r>
        <w:t xml:space="preserve">A premium minimizes our </w:t>
      </w:r>
      <w:r w:rsidRPr="009C05D9">
        <w:rPr>
          <w:b/>
        </w:rPr>
        <w:t>foregoing acquisition of inexpensive conservation</w:t>
      </w:r>
      <w:r>
        <w:t xml:space="preserve"> during periods of low wholesale market prices for electricity</w:t>
      </w:r>
    </w:p>
    <w:p w:rsidR="00256B41" w:rsidRDefault="00256B41" w:rsidP="00256B41">
      <w:pPr>
        <w:pStyle w:val="ListParagraph"/>
        <w:numPr>
          <w:ilvl w:val="1"/>
          <w:numId w:val="1"/>
        </w:numPr>
      </w:pPr>
      <w:r>
        <w:lastRenderedPageBreak/>
        <w:t xml:space="preserve">This effect is especially important to </w:t>
      </w:r>
      <w:r w:rsidRPr="009C05D9">
        <w:rPr>
          <w:b/>
        </w:rPr>
        <w:t>lost opportunity conservation</w:t>
      </w:r>
    </w:p>
    <w:p w:rsidR="00DE48FD" w:rsidRPr="009C05D9" w:rsidRDefault="00DE48FD" w:rsidP="009C05D9">
      <w:pPr>
        <w:pStyle w:val="ListParagraph"/>
        <w:keepNext/>
        <w:keepLines/>
        <w:numPr>
          <w:ilvl w:val="0"/>
          <w:numId w:val="1"/>
        </w:numPr>
        <w:rPr>
          <w:rStyle w:val="Emphasis"/>
          <w:color w:val="548DD4" w:themeColor="text2" w:themeTint="99"/>
          <w:sz w:val="28"/>
          <w:szCs w:val="28"/>
        </w:rPr>
      </w:pPr>
      <w:r w:rsidRPr="009C05D9">
        <w:rPr>
          <w:rStyle w:val="Emphasis"/>
          <w:color w:val="548DD4" w:themeColor="text2" w:themeTint="99"/>
          <w:sz w:val="28"/>
          <w:szCs w:val="28"/>
        </w:rPr>
        <w:t>Displacement of RPS resources</w:t>
      </w:r>
    </w:p>
    <w:p w:rsidR="00DE48FD" w:rsidRDefault="00DE48FD" w:rsidP="009C05D9">
      <w:pPr>
        <w:pStyle w:val="ListParagraph"/>
        <w:keepNext/>
        <w:keepLines/>
        <w:numPr>
          <w:ilvl w:val="1"/>
          <w:numId w:val="1"/>
        </w:numPr>
      </w:pPr>
      <w:r>
        <w:t>Qualifying utilities are obligated to purchase amounts of renewable resources equal to a percentage of their energy loads under renewable portfolio standard statutes</w:t>
      </w:r>
    </w:p>
    <w:p w:rsidR="00DE48FD" w:rsidRDefault="00DE48FD" w:rsidP="00DE48FD">
      <w:pPr>
        <w:pStyle w:val="ListParagraph"/>
        <w:numPr>
          <w:ilvl w:val="1"/>
          <w:numId w:val="1"/>
        </w:numPr>
      </w:pPr>
      <w:r w:rsidRPr="009C05D9">
        <w:rPr>
          <w:b/>
        </w:rPr>
        <w:t>By reducing load</w:t>
      </w:r>
      <w:r>
        <w:t>, conservation reduces the RPS obligation and</w:t>
      </w:r>
      <w:r w:rsidR="009C05D9">
        <w:t>,</w:t>
      </w:r>
      <w:r>
        <w:t xml:space="preserve"> in turn</w:t>
      </w:r>
      <w:r w:rsidR="009C05D9">
        <w:t>,</w:t>
      </w:r>
      <w:r>
        <w:t xml:space="preserve"> the cost of RPS energy purchases or construction.  The cost savings will equal the percentage of renewable cost ($/MWh) that their RPS energy load target represents.  For example, if avoided renewable cost is $100/MWh and RPS energy targets are 20 percent, the savings is $20/MWh.</w:t>
      </w:r>
      <w:r w:rsidR="009C05D9">
        <w:br/>
      </w:r>
    </w:p>
    <w:p w:rsidR="00DE48FD" w:rsidRPr="009C05D9" w:rsidRDefault="00844B57" w:rsidP="00DE48FD">
      <w:pPr>
        <w:pStyle w:val="ListParagraph"/>
        <w:numPr>
          <w:ilvl w:val="0"/>
          <w:numId w:val="1"/>
        </w:numPr>
        <w:rPr>
          <w:rStyle w:val="Emphasis"/>
          <w:color w:val="548DD4" w:themeColor="text2" w:themeTint="99"/>
          <w:sz w:val="28"/>
          <w:szCs w:val="28"/>
        </w:rPr>
      </w:pPr>
      <w:r>
        <w:rPr>
          <w:rStyle w:val="Emphasis"/>
          <w:color w:val="548DD4" w:themeColor="text2" w:themeTint="99"/>
          <w:sz w:val="28"/>
          <w:szCs w:val="28"/>
        </w:rPr>
        <w:t>Short-term cost reduction</w:t>
      </w:r>
    </w:p>
    <w:p w:rsidR="00DE48FD" w:rsidRDefault="00DE48FD" w:rsidP="00DE48FD">
      <w:pPr>
        <w:pStyle w:val="ListParagraph"/>
        <w:numPr>
          <w:ilvl w:val="1"/>
          <w:numId w:val="1"/>
        </w:numPr>
      </w:pPr>
      <w:r>
        <w:t>Even in a market, such as that in the PNW, that is surplus most of the time, reducing prices can reduce costs</w:t>
      </w:r>
    </w:p>
    <w:p w:rsidR="00DE48FD" w:rsidRDefault="00DE48FD" w:rsidP="00DE48FD">
      <w:pPr>
        <w:pStyle w:val="ListParagraph"/>
        <w:numPr>
          <w:ilvl w:val="2"/>
          <w:numId w:val="1"/>
        </w:numPr>
      </w:pPr>
      <w:r>
        <w:t>The net cost is determined by the</w:t>
      </w:r>
      <w:r w:rsidRPr="009C05D9">
        <w:rPr>
          <w:b/>
        </w:rPr>
        <w:t xml:space="preserve"> timing of sales and purchases relative to market prices</w:t>
      </w:r>
      <w:r>
        <w:t>.  If the PNW sells off-peak in the spring – at low prices – and buys on-peak in the winter – at high prices, it is more likely to see these effects</w:t>
      </w:r>
    </w:p>
    <w:p w:rsidR="00DE48FD" w:rsidRDefault="00DE48FD" w:rsidP="00DE48FD">
      <w:pPr>
        <w:pStyle w:val="ListParagraph"/>
        <w:numPr>
          <w:ilvl w:val="2"/>
          <w:numId w:val="1"/>
        </w:numPr>
      </w:pPr>
      <w:r>
        <w:t xml:space="preserve">Off-peak sale prices are </w:t>
      </w:r>
      <w:r w:rsidRPr="009C05D9">
        <w:rPr>
          <w:b/>
        </w:rPr>
        <w:t>constrained below by zero</w:t>
      </w:r>
      <w:r>
        <w:t xml:space="preserve">, while on-peak </w:t>
      </w:r>
      <w:r w:rsidR="009C05D9">
        <w:t>p</w:t>
      </w:r>
      <w:r>
        <w:t>urchase prices are unconstrained</w:t>
      </w:r>
      <w:r w:rsidR="009C05D9">
        <w:br/>
      </w:r>
    </w:p>
    <w:p w:rsidR="00254682" w:rsidRPr="009C05D9" w:rsidRDefault="00254682" w:rsidP="00254682">
      <w:pPr>
        <w:pStyle w:val="ListParagraph"/>
        <w:numPr>
          <w:ilvl w:val="0"/>
          <w:numId w:val="1"/>
        </w:numPr>
        <w:rPr>
          <w:rStyle w:val="Emphasis"/>
          <w:color w:val="548DD4" w:themeColor="text2" w:themeTint="99"/>
          <w:sz w:val="28"/>
          <w:szCs w:val="28"/>
        </w:rPr>
      </w:pPr>
      <w:r w:rsidRPr="009C05D9">
        <w:rPr>
          <w:rStyle w:val="Emphasis"/>
          <w:color w:val="548DD4" w:themeColor="text2" w:themeTint="99"/>
          <w:sz w:val="28"/>
          <w:szCs w:val="28"/>
        </w:rPr>
        <w:t>Opportunity to develop and resell conservation energy</w:t>
      </w:r>
    </w:p>
    <w:p w:rsidR="00254682" w:rsidRDefault="00254682" w:rsidP="00254682">
      <w:pPr>
        <w:pStyle w:val="ListParagraph"/>
        <w:numPr>
          <w:ilvl w:val="1"/>
          <w:numId w:val="1"/>
        </w:numPr>
      </w:pPr>
      <w:r>
        <w:t>Many utilities maintain that their avoided cost is much lower than the wholesale market for electricity</w:t>
      </w:r>
      <w:r w:rsidR="00177D66">
        <w:t>, and consequently, there is little incentive for them to develop their conservation up to wholesale market prices</w:t>
      </w:r>
    </w:p>
    <w:p w:rsidR="00254682" w:rsidRDefault="00254682" w:rsidP="00254682">
      <w:pPr>
        <w:pStyle w:val="ListParagraph"/>
        <w:numPr>
          <w:ilvl w:val="1"/>
          <w:numId w:val="1"/>
        </w:numPr>
      </w:pPr>
      <w:r>
        <w:t xml:space="preserve">Given that other utilities seek energy at market (or at a premium over market), a </w:t>
      </w:r>
      <w:r w:rsidRPr="009C05D9">
        <w:rPr>
          <w:b/>
        </w:rPr>
        <w:t>resell opportunity may exist</w:t>
      </w:r>
      <w:r w:rsidR="0062777B">
        <w:t>.  Sales to other utilities reduce total cost.</w:t>
      </w:r>
    </w:p>
    <w:p w:rsidR="0062777B" w:rsidRPr="009B6604" w:rsidRDefault="0062777B" w:rsidP="00254682">
      <w:pPr>
        <w:pStyle w:val="ListParagraph"/>
        <w:numPr>
          <w:ilvl w:val="1"/>
          <w:numId w:val="1"/>
        </w:numPr>
      </w:pPr>
      <w:r>
        <w:t xml:space="preserve">There is evidence that </w:t>
      </w:r>
      <w:r w:rsidRPr="009C05D9">
        <w:rPr>
          <w:b/>
        </w:rPr>
        <w:t xml:space="preserve">even full-requirements customers of BPA can enjoy </w:t>
      </w:r>
      <w:r w:rsidR="00CC0702" w:rsidRPr="009C05D9">
        <w:rPr>
          <w:b/>
        </w:rPr>
        <w:t>benefits</w:t>
      </w:r>
      <w:r w:rsidR="00CC0702">
        <w:t xml:space="preserve"> from developing conservation in their service territory for use by other utilities</w:t>
      </w:r>
      <w:r w:rsidR="009A6FBC">
        <w:rPr>
          <w:rStyle w:val="FootnoteReference"/>
        </w:rPr>
        <w:footnoteReference w:id="3"/>
      </w:r>
    </w:p>
    <w:sectPr w:rsidR="0062777B" w:rsidRPr="009B6604" w:rsidSect="006463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20" w:rsidRDefault="00430F20" w:rsidP="009B6604">
      <w:r>
        <w:separator/>
      </w:r>
    </w:p>
  </w:endnote>
  <w:endnote w:type="continuationSeparator" w:id="0">
    <w:p w:rsidR="00430F20" w:rsidRDefault="00430F20" w:rsidP="009B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20" w:rsidRDefault="004E055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fldSimple w:instr=" FILENAME  \p  \* MERGEFORMAT ">
      <w:r w:rsidR="0067260C" w:rsidRPr="0067260C">
        <w:rPr>
          <w:rFonts w:asciiTheme="majorHAnsi" w:hAnsiTheme="majorHAnsi"/>
          <w:noProof/>
          <w:sz w:val="18"/>
          <w:szCs w:val="18"/>
        </w:rPr>
        <w:t>Q</w:t>
      </w:r>
      <w:r w:rsidR="0067260C">
        <w:rPr>
          <w:noProof/>
          <w:sz w:val="18"/>
          <w:szCs w:val="18"/>
        </w:rPr>
        <w:t>:\MS\Conservation Generally\The market price premium\The sources of premium value 110726.docx</w:t>
      </w:r>
    </w:fldSimple>
    <w:r w:rsidR="00430F20">
      <w:rPr>
        <w:rFonts w:asciiTheme="majorHAnsi" w:hAnsiTheme="majorHAnsi"/>
      </w:rPr>
      <w:ptab w:relativeTo="margin" w:alignment="right" w:leader="none"/>
    </w:r>
    <w:r w:rsidR="00430F20">
      <w:rPr>
        <w:rFonts w:asciiTheme="majorHAnsi" w:hAnsiTheme="majorHAnsi"/>
      </w:rPr>
      <w:t xml:space="preserve">Page </w:t>
    </w:r>
    <w:fldSimple w:instr=" PAGE   \* MERGEFORMAT ">
      <w:r w:rsidR="009A6FBC" w:rsidRPr="009A6FBC">
        <w:rPr>
          <w:rFonts w:asciiTheme="majorHAnsi" w:hAnsiTheme="majorHAnsi"/>
          <w:noProof/>
        </w:rPr>
        <w:t>2</w:t>
      </w:r>
    </w:fldSimple>
  </w:p>
  <w:p w:rsidR="00430F20" w:rsidRDefault="00430F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20" w:rsidRDefault="00430F20" w:rsidP="009B6604">
      <w:r>
        <w:separator/>
      </w:r>
    </w:p>
  </w:footnote>
  <w:footnote w:type="continuationSeparator" w:id="0">
    <w:p w:rsidR="00430F20" w:rsidRDefault="00430F20" w:rsidP="009B6604">
      <w:r>
        <w:continuationSeparator/>
      </w:r>
    </w:p>
  </w:footnote>
  <w:footnote w:id="1">
    <w:p w:rsidR="00430F20" w:rsidRDefault="00430F20">
      <w:pPr>
        <w:pStyle w:val="FootnoteText"/>
      </w:pPr>
      <w:r>
        <w:rPr>
          <w:rStyle w:val="FootnoteReference"/>
        </w:rPr>
        <w:footnoteRef/>
      </w:r>
      <w:r>
        <w:t xml:space="preserve"> Electricity price risk mitigation can shrinks, disappear, or actually increase if the amount of conservation (or other non-dispatchable resource) exceeds a utility’s minimum load requirement.</w:t>
      </w:r>
    </w:p>
  </w:footnote>
  <w:footnote w:id="2">
    <w:p w:rsidR="00430F20" w:rsidRDefault="00430F20">
      <w:pPr>
        <w:pStyle w:val="FootnoteText"/>
      </w:pPr>
      <w:r>
        <w:rPr>
          <w:rStyle w:val="FootnoteReference"/>
        </w:rPr>
        <w:footnoteRef/>
      </w:r>
      <w:r>
        <w:t xml:space="preserve"> If the supply curve were to have an exponential shape (p=</w:t>
      </w:r>
      <w:proofErr w:type="spellStart"/>
      <w:r>
        <w:t>e</w:t>
      </w:r>
      <w:r w:rsidRPr="00256B41">
        <w:rPr>
          <w:vertAlign w:val="superscript"/>
        </w:rPr>
        <w:t>q</w:t>
      </w:r>
      <w:proofErr w:type="spellEnd"/>
      <w:r>
        <w:t>), the effect would be exactly constant dollar averaging.</w:t>
      </w:r>
    </w:p>
  </w:footnote>
  <w:footnote w:id="3">
    <w:p w:rsidR="009A6FBC" w:rsidRDefault="009A6F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6FBC">
        <w:t>Tom Eckman</w:t>
      </w:r>
      <w:r>
        <w:t>,</w:t>
      </w:r>
      <w:r w:rsidRPr="009A6FBC">
        <w:rPr>
          <w:b/>
          <w:i/>
        </w:rPr>
        <w:t xml:space="preserve"> Some Thoughts on Treating Energy Efficiency as a Resource</w:t>
      </w:r>
      <w:r>
        <w:t xml:space="preserve">, </w:t>
      </w:r>
      <w:hyperlink r:id="rId1" w:history="1">
        <w:r w:rsidRPr="009A6FBC">
          <w:rPr>
            <w:rStyle w:val="Hyperlink"/>
          </w:rPr>
          <w:t>ElectricityPolicy.com</w:t>
        </w:r>
      </w:hyperlink>
      <w:r>
        <w:t xml:space="preserve">, refers to the 1989 arrangement that BPA struck to transfer credit </w:t>
      </w:r>
      <w:r>
        <w:t>for Snohomish PUD’s conservation acquisitions to Puget Sound Energy.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4EE"/>
    <w:multiLevelType w:val="hybridMultilevel"/>
    <w:tmpl w:val="3210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B5924"/>
    <w:rsid w:val="00022C57"/>
    <w:rsid w:val="000B29CF"/>
    <w:rsid w:val="000E06A7"/>
    <w:rsid w:val="0012716C"/>
    <w:rsid w:val="00177D66"/>
    <w:rsid w:val="00254682"/>
    <w:rsid w:val="00256B41"/>
    <w:rsid w:val="00263727"/>
    <w:rsid w:val="00292B31"/>
    <w:rsid w:val="00350F1A"/>
    <w:rsid w:val="00366528"/>
    <w:rsid w:val="00367968"/>
    <w:rsid w:val="003C5D94"/>
    <w:rsid w:val="00430F20"/>
    <w:rsid w:val="00441AF2"/>
    <w:rsid w:val="00461123"/>
    <w:rsid w:val="004E0552"/>
    <w:rsid w:val="0050663C"/>
    <w:rsid w:val="00520A18"/>
    <w:rsid w:val="005D76D5"/>
    <w:rsid w:val="00607628"/>
    <w:rsid w:val="0062777B"/>
    <w:rsid w:val="00646356"/>
    <w:rsid w:val="0067260C"/>
    <w:rsid w:val="006E3622"/>
    <w:rsid w:val="006E563D"/>
    <w:rsid w:val="007B5924"/>
    <w:rsid w:val="007D09D0"/>
    <w:rsid w:val="00844B57"/>
    <w:rsid w:val="008A4138"/>
    <w:rsid w:val="009A6FBC"/>
    <w:rsid w:val="009B6604"/>
    <w:rsid w:val="009C05D9"/>
    <w:rsid w:val="00A156FA"/>
    <w:rsid w:val="00B31CE7"/>
    <w:rsid w:val="00B470C8"/>
    <w:rsid w:val="00C72EAD"/>
    <w:rsid w:val="00CC0702"/>
    <w:rsid w:val="00D168C2"/>
    <w:rsid w:val="00D50F5C"/>
    <w:rsid w:val="00D570B2"/>
    <w:rsid w:val="00DB141E"/>
    <w:rsid w:val="00DD3F48"/>
    <w:rsid w:val="00DE48FD"/>
    <w:rsid w:val="00E95808"/>
    <w:rsid w:val="00F0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968"/>
    <w:rPr>
      <w:sz w:val="24"/>
      <w:szCs w:val="24"/>
    </w:rPr>
  </w:style>
  <w:style w:type="paragraph" w:styleId="Heading1">
    <w:name w:val="heading 1"/>
    <w:next w:val="Normal"/>
    <w:qFormat/>
    <w:rsid w:val="0012716C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12716C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12716C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12716C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12716C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12716C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12716C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B66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B6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9B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66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6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04"/>
    <w:rPr>
      <w:sz w:val="24"/>
      <w:szCs w:val="24"/>
    </w:rPr>
  </w:style>
  <w:style w:type="paragraph" w:styleId="BalloonText">
    <w:name w:val="Balloon Text"/>
    <w:basedOn w:val="Normal"/>
    <w:link w:val="BalloonTextChar"/>
    <w:rsid w:val="009B6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6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76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7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7628"/>
  </w:style>
  <w:style w:type="paragraph" w:styleId="CommentSubject">
    <w:name w:val="annotation subject"/>
    <w:basedOn w:val="CommentText"/>
    <w:next w:val="CommentText"/>
    <w:link w:val="CommentSubjectChar"/>
    <w:rsid w:val="0060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7628"/>
    <w:rPr>
      <w:b/>
      <w:bCs/>
    </w:rPr>
  </w:style>
  <w:style w:type="paragraph" w:styleId="ListParagraph">
    <w:name w:val="List Paragraph"/>
    <w:basedOn w:val="Normal"/>
    <w:uiPriority w:val="34"/>
    <w:qFormat/>
    <w:rsid w:val="00A156F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156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6FA"/>
  </w:style>
  <w:style w:type="character" w:styleId="FootnoteReference">
    <w:name w:val="footnote reference"/>
    <w:basedOn w:val="DefaultParagraphFont"/>
    <w:rsid w:val="00A156FA"/>
    <w:rPr>
      <w:vertAlign w:val="superscript"/>
    </w:rPr>
  </w:style>
  <w:style w:type="character" w:styleId="Emphasis">
    <w:name w:val="Emphasis"/>
    <w:basedOn w:val="DefaultParagraphFont"/>
    <w:qFormat/>
    <w:rsid w:val="009C05D9"/>
    <w:rPr>
      <w:i/>
      <w:iCs/>
    </w:rPr>
  </w:style>
  <w:style w:type="character" w:styleId="Hyperlink">
    <w:name w:val="Hyperlink"/>
    <w:basedOn w:val="DefaultParagraphFont"/>
    <w:rsid w:val="00D5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as1\power\MS\Plan%206\Studies\L813\Adder%20for%20Discretionary%20Conservation\Conservation%20Energy%20Distributions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ricitypolicy.com/archives/3118-some-thoughts-on-treating-energy-efficiency-as-a-resour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S\ww\template\MJS%20Formatted%20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9439-21F3-48F3-A57A-5A7B4BAF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MJS Formatted Standard.dotx</Template>
  <TotalTime>194</TotalTime>
  <Pages>2</Pages>
  <Words>599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Schilmoeller, 11/17/2010</dc:creator>
  <cp:lastModifiedBy>Michael Schilmoeller, 7/1/2011</cp:lastModifiedBy>
  <cp:revision>8</cp:revision>
  <cp:lastPrinted>2011-07-26T20:33:00Z</cp:lastPrinted>
  <dcterms:created xsi:type="dcterms:W3CDTF">2011-07-26T19:26:00Z</dcterms:created>
  <dcterms:modified xsi:type="dcterms:W3CDTF">2011-07-27T19:32:00Z</dcterms:modified>
</cp:coreProperties>
</file>