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252" w:type="dxa"/>
        <w:tblBorders>
          <w:bottom w:val="single" w:sz="4" w:space="0" w:color="999999"/>
        </w:tblBorders>
        <w:tblLayout w:type="fixed"/>
        <w:tblLook w:val="0000"/>
      </w:tblPr>
      <w:tblGrid>
        <w:gridCol w:w="4950"/>
        <w:gridCol w:w="4950"/>
      </w:tblGrid>
      <w:tr w:rsidR="006136BE">
        <w:trPr>
          <w:cantSplit/>
        </w:trPr>
        <w:tc>
          <w:tcPr>
            <w:tcW w:w="4950" w:type="dxa"/>
          </w:tcPr>
          <w:p w:rsidR="006136BE" w:rsidRDefault="00FF6FF2">
            <w:pPr>
              <w:tabs>
                <w:tab w:val="left" w:pos="1350"/>
              </w:tabs>
              <w:ind w:left="180"/>
              <w:rPr>
                <w:rFonts w:ascii="Palatino" w:hAnsi="Palatino"/>
              </w:rPr>
            </w:pPr>
            <w:r>
              <w:rPr>
                <w:noProof/>
              </w:rPr>
              <w:drawing>
                <wp:inline distT="0" distB="0" distL="0" distR="0">
                  <wp:extent cx="2857500" cy="962025"/>
                  <wp:effectExtent l="19050" t="0" r="0" b="0"/>
                  <wp:docPr id="1" name="Picture 1" descr="My Webs\nwcouncil\energy\rtf\logo_m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Webs\nwcouncil\energy\rtf\logo_med.gif"/>
                          <pic:cNvPicPr>
                            <a:picLocks noChangeAspect="1" noChangeArrowheads="1"/>
                          </pic:cNvPicPr>
                        </pic:nvPicPr>
                        <pic:blipFill>
                          <a:blip r:embed="rId7" cstate="print"/>
                          <a:srcRect/>
                          <a:stretch>
                            <a:fillRect/>
                          </a:stretch>
                        </pic:blipFill>
                        <pic:spPr bwMode="auto">
                          <a:xfrm>
                            <a:off x="0" y="0"/>
                            <a:ext cx="2857500" cy="962025"/>
                          </a:xfrm>
                          <a:prstGeom prst="rect">
                            <a:avLst/>
                          </a:prstGeom>
                          <a:noFill/>
                          <a:ln w="9525">
                            <a:noFill/>
                            <a:miter lim="800000"/>
                            <a:headEnd/>
                            <a:tailEnd/>
                          </a:ln>
                        </pic:spPr>
                      </pic:pic>
                    </a:graphicData>
                  </a:graphic>
                </wp:inline>
              </w:drawing>
            </w:r>
          </w:p>
        </w:tc>
        <w:tc>
          <w:tcPr>
            <w:tcW w:w="4950" w:type="dxa"/>
            <w:vAlign w:val="center"/>
          </w:tcPr>
          <w:p w:rsidR="006136BE" w:rsidRDefault="00FF6FF2">
            <w:pPr>
              <w:tabs>
                <w:tab w:val="left" w:pos="1350"/>
              </w:tabs>
              <w:ind w:left="187"/>
              <w:jc w:val="right"/>
              <w:rPr>
                <w:rFonts w:ascii="Trebuchet MS" w:hAnsi="Trebuchet MS"/>
                <w:color w:val="999999"/>
                <w:sz w:val="20"/>
              </w:rPr>
            </w:pPr>
            <w:r>
              <w:rPr>
                <w:rFonts w:ascii="Trebuchet MS" w:hAnsi="Trebuchet MS"/>
                <w:color w:val="999999"/>
                <w:sz w:val="20"/>
              </w:rPr>
              <w:t>851 S.W. Sixth Avenue, Suite 1100</w:t>
            </w:r>
          </w:p>
          <w:p w:rsidR="006136BE" w:rsidRDefault="00FF6FF2">
            <w:pPr>
              <w:tabs>
                <w:tab w:val="left" w:pos="1350"/>
              </w:tabs>
              <w:spacing w:line="360" w:lineRule="exact"/>
              <w:ind w:left="187"/>
              <w:jc w:val="right"/>
              <w:rPr>
                <w:rFonts w:ascii="Trebuchet MS" w:hAnsi="Trebuchet MS"/>
                <w:color w:val="999999"/>
                <w:sz w:val="20"/>
              </w:rPr>
            </w:pPr>
            <w:r>
              <w:rPr>
                <w:rFonts w:ascii="Trebuchet MS" w:hAnsi="Trebuchet MS"/>
                <w:color w:val="999999"/>
                <w:sz w:val="20"/>
              </w:rPr>
              <w:t>Portland, Oregon 97204-1348</w:t>
            </w:r>
          </w:p>
          <w:p w:rsidR="006136BE" w:rsidRDefault="00FF6FF2">
            <w:pPr>
              <w:tabs>
                <w:tab w:val="left" w:pos="1350"/>
              </w:tabs>
              <w:spacing w:line="360" w:lineRule="exact"/>
              <w:ind w:left="187"/>
              <w:jc w:val="right"/>
              <w:rPr>
                <w:rFonts w:ascii="Trebuchet MS" w:hAnsi="Trebuchet MS"/>
                <w:color w:val="999999"/>
                <w:sz w:val="20"/>
              </w:rPr>
            </w:pPr>
            <w:r>
              <w:rPr>
                <w:rFonts w:ascii="Trebuchet MS" w:hAnsi="Trebuchet MS"/>
                <w:color w:val="999999"/>
                <w:sz w:val="20"/>
              </w:rPr>
              <w:t>503-222-5161 fax 820-2370</w:t>
            </w:r>
          </w:p>
          <w:p w:rsidR="006136BE" w:rsidRDefault="00FF6FF2">
            <w:pPr>
              <w:tabs>
                <w:tab w:val="left" w:pos="1350"/>
              </w:tabs>
              <w:spacing w:line="360" w:lineRule="exact"/>
              <w:ind w:left="187"/>
              <w:jc w:val="right"/>
              <w:rPr>
                <w:rFonts w:ascii="Trebuchet MS" w:hAnsi="Trebuchet MS"/>
                <w:color w:val="999999"/>
              </w:rPr>
            </w:pPr>
            <w:r>
              <w:rPr>
                <w:rFonts w:ascii="Trebuchet MS" w:hAnsi="Trebuchet MS"/>
                <w:color w:val="999999"/>
                <w:sz w:val="20"/>
              </w:rPr>
              <w:t>www.nwcouncil.org/rtf</w:t>
            </w:r>
          </w:p>
        </w:tc>
      </w:tr>
    </w:tbl>
    <w:p w:rsidR="006136BE" w:rsidRDefault="006136BE"/>
    <w:p w:rsidR="006136BE" w:rsidRDefault="006136BE"/>
    <w:p w:rsidR="00C21EFC" w:rsidRPr="00FF5BE7" w:rsidRDefault="00C21EFC">
      <w:pPr>
        <w:rPr>
          <w:rFonts w:ascii="Arial" w:hAnsi="Arial" w:cs="Arial"/>
        </w:rPr>
      </w:pPr>
      <w:r>
        <w:rPr>
          <w:rFonts w:ascii="Arial" w:hAnsi="Arial" w:cs="Arial"/>
        </w:rPr>
        <w:t>November 18, 2014</w:t>
      </w:r>
    </w:p>
    <w:p w:rsidR="006136BE" w:rsidRPr="00FF5BE7" w:rsidRDefault="006136BE">
      <w:pPr>
        <w:rPr>
          <w:rFonts w:ascii="Arial" w:hAnsi="Arial" w:cs="Arial"/>
        </w:rPr>
      </w:pPr>
    </w:p>
    <w:p w:rsidR="006136BE" w:rsidRPr="00FF5BE7" w:rsidRDefault="006136BE">
      <w:pPr>
        <w:rPr>
          <w:rFonts w:ascii="Arial" w:hAnsi="Arial" w:cs="Arial"/>
        </w:rPr>
      </w:pPr>
    </w:p>
    <w:p w:rsidR="006136BE" w:rsidRPr="00FF5BE7" w:rsidRDefault="00FF6FF2">
      <w:pPr>
        <w:rPr>
          <w:rFonts w:ascii="Arial" w:hAnsi="Arial" w:cs="Arial"/>
          <w:b/>
          <w:bCs/>
        </w:rPr>
      </w:pPr>
      <w:r w:rsidRPr="00FF5BE7">
        <w:rPr>
          <w:rFonts w:ascii="Arial" w:hAnsi="Arial" w:cs="Arial"/>
          <w:b/>
          <w:bCs/>
        </w:rPr>
        <w:t>MEMORANDUM</w:t>
      </w:r>
    </w:p>
    <w:p w:rsidR="006136BE" w:rsidRPr="00FF5BE7" w:rsidRDefault="006136BE">
      <w:pPr>
        <w:rPr>
          <w:rFonts w:ascii="Arial" w:hAnsi="Arial" w:cs="Arial"/>
        </w:rPr>
      </w:pPr>
    </w:p>
    <w:p w:rsidR="006136BE" w:rsidRPr="00FF5BE7" w:rsidRDefault="00FF6FF2">
      <w:pPr>
        <w:rPr>
          <w:rFonts w:ascii="Arial" w:hAnsi="Arial" w:cs="Arial"/>
          <w:b/>
          <w:bCs/>
        </w:rPr>
      </w:pPr>
      <w:r w:rsidRPr="00FF5BE7">
        <w:rPr>
          <w:rFonts w:ascii="Arial" w:hAnsi="Arial" w:cs="Arial"/>
          <w:b/>
          <w:bCs/>
        </w:rPr>
        <w:t xml:space="preserve">TO:  </w:t>
      </w:r>
      <w:bookmarkStart w:id="0" w:name="_GoBack"/>
      <w:bookmarkEnd w:id="0"/>
      <w:r w:rsidR="00C21EFC">
        <w:rPr>
          <w:rFonts w:ascii="Arial" w:hAnsi="Arial" w:cs="Arial"/>
          <w:b/>
          <w:bCs/>
        </w:rPr>
        <w:t>Council Members</w:t>
      </w:r>
    </w:p>
    <w:p w:rsidR="006136BE" w:rsidRPr="00FF5BE7" w:rsidRDefault="006136BE">
      <w:pPr>
        <w:rPr>
          <w:rFonts w:ascii="Arial" w:hAnsi="Arial" w:cs="Arial"/>
        </w:rPr>
      </w:pPr>
    </w:p>
    <w:p w:rsidR="006136BE" w:rsidRPr="00FF5BE7" w:rsidRDefault="00FF6FF2">
      <w:pPr>
        <w:rPr>
          <w:rFonts w:ascii="Arial" w:hAnsi="Arial" w:cs="Arial"/>
          <w:b/>
          <w:bCs/>
        </w:rPr>
      </w:pPr>
      <w:r w:rsidRPr="00FF5BE7">
        <w:rPr>
          <w:rFonts w:ascii="Arial" w:hAnsi="Arial" w:cs="Arial"/>
          <w:b/>
          <w:bCs/>
        </w:rPr>
        <w:t xml:space="preserve">FROM:  </w:t>
      </w:r>
      <w:r w:rsidR="00C21EFC">
        <w:rPr>
          <w:rFonts w:ascii="Arial" w:hAnsi="Arial" w:cs="Arial"/>
          <w:b/>
          <w:bCs/>
        </w:rPr>
        <w:t>Regional Technical Forum</w:t>
      </w:r>
    </w:p>
    <w:p w:rsidR="006136BE" w:rsidRPr="00FF5BE7" w:rsidRDefault="006136BE">
      <w:pPr>
        <w:rPr>
          <w:rFonts w:ascii="Arial" w:hAnsi="Arial" w:cs="Arial"/>
          <w:b/>
          <w:bCs/>
        </w:rPr>
      </w:pPr>
    </w:p>
    <w:p w:rsidR="006136BE" w:rsidRPr="00FF5BE7" w:rsidRDefault="00FF6FF2">
      <w:pPr>
        <w:rPr>
          <w:rFonts w:ascii="Arial" w:hAnsi="Arial" w:cs="Arial"/>
          <w:b/>
          <w:bCs/>
        </w:rPr>
      </w:pPr>
      <w:r w:rsidRPr="00FF5BE7">
        <w:rPr>
          <w:rFonts w:ascii="Arial" w:hAnsi="Arial" w:cs="Arial"/>
          <w:b/>
          <w:bCs/>
        </w:rPr>
        <w:t xml:space="preserve">SUBJECT:  </w:t>
      </w:r>
      <w:r w:rsidR="004D5B14">
        <w:rPr>
          <w:rFonts w:ascii="Arial" w:hAnsi="Arial" w:cs="Arial"/>
          <w:b/>
          <w:bCs/>
        </w:rPr>
        <w:t>Technical Considerations around Quantifying the Health Impacts from Changes in Wood Smoke</w:t>
      </w:r>
      <w:r w:rsidR="00C21EFC">
        <w:rPr>
          <w:rFonts w:ascii="Arial" w:hAnsi="Arial" w:cs="Arial"/>
          <w:b/>
          <w:bCs/>
        </w:rPr>
        <w:t xml:space="preserve"> </w:t>
      </w:r>
      <w:r w:rsidR="004D5B14">
        <w:rPr>
          <w:rFonts w:ascii="Arial" w:hAnsi="Arial" w:cs="Arial"/>
          <w:b/>
          <w:bCs/>
        </w:rPr>
        <w:t>Emissions</w:t>
      </w:r>
    </w:p>
    <w:p w:rsidR="004D5B14" w:rsidRDefault="004D5B14">
      <w:pPr>
        <w:rPr>
          <w:rFonts w:ascii="Arial" w:hAnsi="Arial" w:cs="Arial"/>
        </w:rPr>
      </w:pPr>
    </w:p>
    <w:p w:rsidR="00267538" w:rsidRDefault="00C3080D">
      <w:pPr>
        <w:rPr>
          <w:rFonts w:ascii="Arial" w:hAnsi="Arial" w:cs="Arial"/>
        </w:rPr>
      </w:pPr>
      <w:r>
        <w:rPr>
          <w:rFonts w:ascii="Arial" w:hAnsi="Arial" w:cs="Arial"/>
        </w:rPr>
        <w:t xml:space="preserve">This memo reflects the </w:t>
      </w:r>
      <w:r w:rsidR="000F3064">
        <w:rPr>
          <w:rFonts w:ascii="Arial" w:hAnsi="Arial" w:cs="Arial"/>
        </w:rPr>
        <w:t xml:space="preserve">Regional Technical Forum (RTF) </w:t>
      </w:r>
      <w:r>
        <w:rPr>
          <w:rFonts w:ascii="Arial" w:hAnsi="Arial" w:cs="Arial"/>
        </w:rPr>
        <w:t xml:space="preserve">perspective </w:t>
      </w:r>
      <w:r w:rsidR="00536F79">
        <w:rPr>
          <w:rFonts w:ascii="Arial" w:hAnsi="Arial" w:cs="Arial"/>
        </w:rPr>
        <w:t>on</w:t>
      </w:r>
      <w:r>
        <w:rPr>
          <w:rFonts w:ascii="Arial" w:hAnsi="Arial" w:cs="Arial"/>
        </w:rPr>
        <w:t xml:space="preserve"> the technical considerations </w:t>
      </w:r>
      <w:r w:rsidR="00574315">
        <w:rPr>
          <w:rFonts w:ascii="Arial" w:hAnsi="Arial" w:cs="Arial"/>
        </w:rPr>
        <w:t xml:space="preserve">involved in </w:t>
      </w:r>
      <w:r>
        <w:rPr>
          <w:rFonts w:ascii="Arial" w:hAnsi="Arial" w:cs="Arial"/>
        </w:rPr>
        <w:t xml:space="preserve">quantifying the health impacts from changes in wood smoke emissions that may be attributable to specific energy efficiency measures. </w:t>
      </w:r>
      <w:r w:rsidR="00125C3A">
        <w:rPr>
          <w:rFonts w:ascii="Arial" w:hAnsi="Arial" w:cs="Arial"/>
        </w:rPr>
        <w:t xml:space="preserve">The RTF recognizes that the ultimate question of whether health impacts resulting from a conservation measure should be included in </w:t>
      </w:r>
      <w:r w:rsidR="002A23E5">
        <w:rPr>
          <w:rFonts w:ascii="Arial" w:hAnsi="Arial" w:cs="Arial"/>
        </w:rPr>
        <w:t xml:space="preserve">RTF cost and benefit estimates is a question for the Council. </w:t>
      </w:r>
      <w:r w:rsidR="00536F79">
        <w:rPr>
          <w:rFonts w:ascii="Arial" w:hAnsi="Arial" w:cs="Arial"/>
        </w:rPr>
        <w:t>Th</w:t>
      </w:r>
      <w:r w:rsidR="002A23E5">
        <w:rPr>
          <w:rFonts w:ascii="Arial" w:hAnsi="Arial" w:cs="Arial"/>
        </w:rPr>
        <w:t xml:space="preserve">e RTF </w:t>
      </w:r>
      <w:r w:rsidR="00536F79">
        <w:rPr>
          <w:rFonts w:ascii="Arial" w:hAnsi="Arial" w:cs="Arial"/>
        </w:rPr>
        <w:t xml:space="preserve">analysis is intended to </w:t>
      </w:r>
      <w:r w:rsidR="002A23E5">
        <w:rPr>
          <w:rFonts w:ascii="Arial" w:hAnsi="Arial" w:cs="Arial"/>
        </w:rPr>
        <w:t>inform</w:t>
      </w:r>
      <w:r w:rsidR="00536F79">
        <w:rPr>
          <w:rFonts w:ascii="Arial" w:hAnsi="Arial" w:cs="Arial"/>
        </w:rPr>
        <w:t xml:space="preserve"> the Council’s decision</w:t>
      </w:r>
      <w:r w:rsidR="002A23E5">
        <w:rPr>
          <w:rFonts w:ascii="Arial" w:hAnsi="Arial" w:cs="Arial"/>
        </w:rPr>
        <w:t>, but stops short</w:t>
      </w:r>
      <w:r w:rsidR="00C417DD">
        <w:rPr>
          <w:rFonts w:ascii="Arial" w:hAnsi="Arial" w:cs="Arial"/>
        </w:rPr>
        <w:t xml:space="preserve"> of answering</w:t>
      </w:r>
      <w:r w:rsidR="002A23E5">
        <w:rPr>
          <w:rFonts w:ascii="Arial" w:hAnsi="Arial" w:cs="Arial"/>
        </w:rPr>
        <w:t xml:space="preserve">, the question of whether this specific “benefit” satisfies the requirements of the Northwest Power Act. </w:t>
      </w:r>
      <w:r w:rsidR="00536F79">
        <w:rPr>
          <w:rFonts w:ascii="Arial" w:hAnsi="Arial" w:cs="Arial"/>
        </w:rPr>
        <w:t xml:space="preserve">This memo summarizes RTF </w:t>
      </w:r>
      <w:r w:rsidR="00587F43">
        <w:rPr>
          <w:rFonts w:ascii="Arial" w:hAnsi="Arial" w:cs="Arial"/>
        </w:rPr>
        <w:t xml:space="preserve">technical findings </w:t>
      </w:r>
      <w:r w:rsidR="00536F79">
        <w:rPr>
          <w:rFonts w:ascii="Arial" w:hAnsi="Arial" w:cs="Arial"/>
        </w:rPr>
        <w:t xml:space="preserve">from a detailed </w:t>
      </w:r>
      <w:r w:rsidR="007545BB">
        <w:rPr>
          <w:rFonts w:ascii="Arial" w:hAnsi="Arial" w:cs="Arial"/>
        </w:rPr>
        <w:t xml:space="preserve">staff </w:t>
      </w:r>
      <w:r w:rsidR="00536F79">
        <w:rPr>
          <w:rFonts w:ascii="Arial" w:hAnsi="Arial" w:cs="Arial"/>
        </w:rPr>
        <w:t>technical report on a</w:t>
      </w:r>
      <w:r w:rsidR="00587F43">
        <w:rPr>
          <w:rFonts w:ascii="Arial" w:hAnsi="Arial" w:cs="Arial"/>
        </w:rPr>
        <w:t xml:space="preserve"> methodology for quantifying health impacts related to energy efficiency measures</w:t>
      </w:r>
      <w:r w:rsidR="00587F43" w:rsidRPr="00E376E9">
        <w:rPr>
          <w:rFonts w:ascii="Arial" w:hAnsi="Arial" w:cs="Arial"/>
        </w:rPr>
        <w:t xml:space="preserve">. </w:t>
      </w:r>
      <w:r w:rsidR="002A23E5" w:rsidRPr="00E376E9">
        <w:rPr>
          <w:rFonts w:ascii="Arial" w:hAnsi="Arial" w:cs="Arial"/>
        </w:rPr>
        <w:t>In summary, the RTF believes that</w:t>
      </w:r>
      <w:r w:rsidR="00E376E9" w:rsidRPr="00E376E9">
        <w:rPr>
          <w:rFonts w:ascii="Arial" w:hAnsi="Arial" w:cs="Arial"/>
        </w:rPr>
        <w:t>, given sufficient resources,</w:t>
      </w:r>
      <w:r w:rsidR="002A23E5" w:rsidRPr="00E376E9">
        <w:rPr>
          <w:rFonts w:ascii="Arial" w:hAnsi="Arial" w:cs="Arial"/>
        </w:rPr>
        <w:t xml:space="preserve"> </w:t>
      </w:r>
      <w:r w:rsidR="007545BB">
        <w:rPr>
          <w:rFonts w:ascii="Arial" w:hAnsi="Arial" w:cs="Arial"/>
        </w:rPr>
        <w:t xml:space="preserve">a methodology exists to quantify the impacts from changes in wood smoke and that the </w:t>
      </w:r>
      <w:r w:rsidR="00587F43" w:rsidRPr="00E376E9">
        <w:rPr>
          <w:rFonts w:ascii="Arial" w:hAnsi="Arial" w:cs="Arial"/>
        </w:rPr>
        <w:t xml:space="preserve">resulting benefits (or costs) </w:t>
      </w:r>
      <w:r w:rsidR="00E376E9" w:rsidRPr="00E376E9">
        <w:rPr>
          <w:rFonts w:ascii="Arial" w:hAnsi="Arial" w:cs="Arial"/>
        </w:rPr>
        <w:t xml:space="preserve">may </w:t>
      </w:r>
      <w:r w:rsidR="00587F43" w:rsidRPr="00E376E9">
        <w:rPr>
          <w:rFonts w:ascii="Arial" w:hAnsi="Arial" w:cs="Arial"/>
        </w:rPr>
        <w:t xml:space="preserve">be significant </w:t>
      </w:r>
      <w:r w:rsidR="0001650F" w:rsidRPr="00E376E9">
        <w:rPr>
          <w:rFonts w:ascii="Arial" w:hAnsi="Arial" w:cs="Arial"/>
        </w:rPr>
        <w:t xml:space="preserve">for </w:t>
      </w:r>
      <w:r w:rsidR="002A23E5" w:rsidRPr="00E376E9">
        <w:rPr>
          <w:rFonts w:ascii="Arial" w:hAnsi="Arial" w:cs="Arial"/>
        </w:rPr>
        <w:t>certain energy efficiency measures</w:t>
      </w:r>
      <w:r w:rsidR="00F13BAE" w:rsidRPr="00E376E9">
        <w:rPr>
          <w:rFonts w:ascii="Arial" w:hAnsi="Arial" w:cs="Arial"/>
        </w:rPr>
        <w:t>.</w:t>
      </w:r>
    </w:p>
    <w:p w:rsidR="00BB558B" w:rsidRPr="00D90F29" w:rsidRDefault="00BB558B" w:rsidP="00BB558B">
      <w:pPr>
        <w:rPr>
          <w:rFonts w:cs="Arial"/>
        </w:rPr>
      </w:pPr>
    </w:p>
    <w:p w:rsidR="00DF55EC" w:rsidRDefault="00142EFC">
      <w:pPr>
        <w:rPr>
          <w:rFonts w:ascii="Arial" w:hAnsi="Arial" w:cs="Arial"/>
          <w:b/>
        </w:rPr>
      </w:pPr>
      <w:r w:rsidRPr="00107B01">
        <w:rPr>
          <w:rFonts w:ascii="Arial" w:hAnsi="Arial" w:cs="Arial"/>
          <w:b/>
        </w:rPr>
        <w:t>RTF</w:t>
      </w:r>
      <w:r w:rsidR="00574315">
        <w:rPr>
          <w:rFonts w:ascii="Arial" w:hAnsi="Arial" w:cs="Arial"/>
          <w:b/>
        </w:rPr>
        <w:t xml:space="preserve"> </w:t>
      </w:r>
      <w:r w:rsidRPr="00107B01">
        <w:rPr>
          <w:rFonts w:ascii="Arial" w:hAnsi="Arial" w:cs="Arial"/>
          <w:b/>
        </w:rPr>
        <w:t>Consensus Conclusions</w:t>
      </w:r>
      <w:r w:rsidR="00574315">
        <w:rPr>
          <w:rFonts w:ascii="Arial" w:hAnsi="Arial" w:cs="Arial"/>
          <w:b/>
        </w:rPr>
        <w:t xml:space="preserve"> on the Methodology</w:t>
      </w:r>
      <w:r w:rsidR="0098599E">
        <w:rPr>
          <w:rFonts w:ascii="Arial" w:hAnsi="Arial" w:cs="Arial"/>
          <w:b/>
        </w:rPr>
        <w:t xml:space="preserve"> for Quantifying Health Effects from Wood Smoke</w:t>
      </w:r>
      <w:r w:rsidR="00574315">
        <w:rPr>
          <w:rFonts w:ascii="Arial" w:hAnsi="Arial" w:cs="Arial"/>
          <w:b/>
        </w:rPr>
        <w:t xml:space="preserve"> </w:t>
      </w:r>
    </w:p>
    <w:p w:rsidR="00F13BAE" w:rsidRPr="00751787" w:rsidRDefault="00536F79" w:rsidP="00DF55EC">
      <w:pPr>
        <w:rPr>
          <w:rFonts w:ascii="Arial" w:hAnsi="Arial" w:cs="Arial"/>
        </w:rPr>
      </w:pPr>
      <w:r>
        <w:rPr>
          <w:rFonts w:ascii="Arial" w:hAnsi="Arial" w:cs="Arial"/>
        </w:rPr>
        <w:t>T</w:t>
      </w:r>
      <w:r w:rsidR="007D25DA">
        <w:rPr>
          <w:rFonts w:ascii="Arial" w:hAnsi="Arial" w:cs="Arial"/>
        </w:rPr>
        <w:t xml:space="preserve">he RTF </w:t>
      </w:r>
      <w:r>
        <w:rPr>
          <w:rFonts w:ascii="Arial" w:hAnsi="Arial" w:cs="Arial"/>
        </w:rPr>
        <w:t>analysis focuses on</w:t>
      </w:r>
      <w:r w:rsidR="007D25DA">
        <w:rPr>
          <w:rFonts w:ascii="Arial" w:hAnsi="Arial" w:cs="Arial"/>
        </w:rPr>
        <w:t xml:space="preserve"> the technical considerations around </w:t>
      </w:r>
      <w:r w:rsidR="00553EF3">
        <w:rPr>
          <w:rFonts w:ascii="Arial" w:hAnsi="Arial" w:cs="Arial"/>
        </w:rPr>
        <w:t xml:space="preserve">a </w:t>
      </w:r>
      <w:r w:rsidR="007D25DA">
        <w:rPr>
          <w:rFonts w:ascii="Arial" w:hAnsi="Arial" w:cs="Arial"/>
        </w:rPr>
        <w:t xml:space="preserve">methodology used </w:t>
      </w:r>
      <w:r w:rsidR="00553EF3">
        <w:rPr>
          <w:rFonts w:ascii="Arial" w:hAnsi="Arial" w:cs="Arial"/>
        </w:rPr>
        <w:t xml:space="preserve">by the Environmental Protection </w:t>
      </w:r>
      <w:r w:rsidR="00553EF3" w:rsidRPr="00751787">
        <w:rPr>
          <w:rFonts w:ascii="Arial" w:hAnsi="Arial" w:cs="Arial"/>
        </w:rPr>
        <w:t xml:space="preserve">Agency and other federal agencies </w:t>
      </w:r>
      <w:r w:rsidR="007D25DA" w:rsidRPr="00751787">
        <w:rPr>
          <w:rFonts w:ascii="Arial" w:hAnsi="Arial" w:cs="Arial"/>
        </w:rPr>
        <w:t>to calculate the health impacts from changes in wood smoke emissions. The following subse</w:t>
      </w:r>
      <w:r w:rsidR="00C17A2F" w:rsidRPr="00751787">
        <w:rPr>
          <w:rFonts w:ascii="Arial" w:hAnsi="Arial" w:cs="Arial"/>
        </w:rPr>
        <w:t>ctions summarize RTF consensus c</w:t>
      </w:r>
      <w:r w:rsidR="007D25DA" w:rsidRPr="00751787">
        <w:rPr>
          <w:rFonts w:ascii="Arial" w:hAnsi="Arial" w:cs="Arial"/>
        </w:rPr>
        <w:t xml:space="preserve">onclusions around </w:t>
      </w:r>
      <w:r w:rsidR="00DF55EC" w:rsidRPr="00751787">
        <w:rPr>
          <w:rFonts w:ascii="Arial" w:hAnsi="Arial" w:cs="Arial"/>
        </w:rPr>
        <w:t>the methodology analyzed in the RTF Staff report</w:t>
      </w:r>
      <w:r w:rsidR="00F13BAE" w:rsidRPr="00751787">
        <w:rPr>
          <w:rFonts w:ascii="Arial" w:hAnsi="Arial" w:cs="Arial"/>
        </w:rPr>
        <w:t>.</w:t>
      </w:r>
      <w:r w:rsidR="00A50DD1" w:rsidRPr="00751787">
        <w:rPr>
          <w:rFonts w:ascii="Arial" w:hAnsi="Arial" w:cs="Arial"/>
        </w:rPr>
        <w:t xml:space="preserve"> Generally, the RTF has the expertise to assess Step 1, but Steps 2 through 4 require expertise that is not a part of the current RTF Charter (members are not chosen for this type of knowledge and there are not research budgets or staff to conduct the work).</w:t>
      </w:r>
    </w:p>
    <w:p w:rsidR="00FC185A" w:rsidRDefault="00FC185A">
      <w:pPr>
        <w:rPr>
          <w:rFonts w:ascii="Arial" w:hAnsi="Arial" w:cs="Arial"/>
          <w:b/>
        </w:rPr>
      </w:pPr>
    </w:p>
    <w:p w:rsidR="00FC185A" w:rsidRPr="00412889" w:rsidRDefault="00FC185A">
      <w:pPr>
        <w:rPr>
          <w:rFonts w:ascii="Arial" w:hAnsi="Arial" w:cs="Arial"/>
          <w:i/>
        </w:rPr>
      </w:pPr>
      <w:r w:rsidRPr="00412889">
        <w:rPr>
          <w:rFonts w:ascii="Arial" w:hAnsi="Arial" w:cs="Arial"/>
          <w:i/>
        </w:rPr>
        <w:t>Step 1: Quantifying Changes in Wood Use Resulting from an Energy Efficiency Measure</w:t>
      </w:r>
    </w:p>
    <w:p w:rsidR="00412889" w:rsidRPr="00412889" w:rsidRDefault="00412889" w:rsidP="00412889">
      <w:pPr>
        <w:rPr>
          <w:rFonts w:ascii="Arial" w:hAnsi="Arial" w:cs="Arial"/>
        </w:rPr>
      </w:pPr>
    </w:p>
    <w:p w:rsidR="00F35F6F" w:rsidRDefault="00553EF3" w:rsidP="00412889">
      <w:pPr>
        <w:pStyle w:val="ListParagraph"/>
        <w:numPr>
          <w:ilvl w:val="0"/>
          <w:numId w:val="10"/>
        </w:numPr>
        <w:rPr>
          <w:rFonts w:cs="Arial"/>
        </w:rPr>
      </w:pPr>
      <w:r w:rsidRPr="00553EF3">
        <w:rPr>
          <w:rFonts w:cs="Arial"/>
          <w:b/>
        </w:rPr>
        <w:t>There is a causal link between ductless heat pumps and wood use, as e</w:t>
      </w:r>
      <w:r w:rsidR="00412889" w:rsidRPr="00553EF3">
        <w:rPr>
          <w:rFonts w:cs="Arial"/>
          <w:b/>
        </w:rPr>
        <w:t>vidence</w:t>
      </w:r>
      <w:r w:rsidRPr="00553EF3">
        <w:rPr>
          <w:rFonts w:cs="Arial"/>
          <w:b/>
        </w:rPr>
        <w:t xml:space="preserve"> shows that the introduction of a ductless heat pump offsets some supplemental wood use, on average.</w:t>
      </w:r>
      <w:r w:rsidR="00911A20" w:rsidRPr="00412889">
        <w:rPr>
          <w:rFonts w:cs="Arial"/>
        </w:rPr>
        <w:t xml:space="preserve"> </w:t>
      </w:r>
      <w:r w:rsidR="00412889">
        <w:rPr>
          <w:rFonts w:cs="Arial"/>
        </w:rPr>
        <w:t xml:space="preserve">For </w:t>
      </w:r>
      <w:r>
        <w:rPr>
          <w:rFonts w:cs="Arial"/>
        </w:rPr>
        <w:t xml:space="preserve">the ductless heat pump measure, </w:t>
      </w:r>
      <w:r w:rsidR="00412889">
        <w:rPr>
          <w:rFonts w:cs="Arial"/>
        </w:rPr>
        <w:t xml:space="preserve">the RTF accounts for </w:t>
      </w:r>
      <w:r w:rsidR="00CF6B18">
        <w:rPr>
          <w:rFonts w:cs="Arial"/>
        </w:rPr>
        <w:t>the</w:t>
      </w:r>
      <w:r>
        <w:rPr>
          <w:rFonts w:cs="Arial"/>
        </w:rPr>
        <w:t xml:space="preserve"> average</w:t>
      </w:r>
      <w:r w:rsidR="00CF6B18">
        <w:rPr>
          <w:rFonts w:cs="Arial"/>
        </w:rPr>
        <w:t xml:space="preserve"> wood reduction </w:t>
      </w:r>
      <w:r>
        <w:rPr>
          <w:rFonts w:cs="Arial"/>
        </w:rPr>
        <w:t xml:space="preserve">per heating zone </w:t>
      </w:r>
      <w:r w:rsidR="00CF6B18">
        <w:rPr>
          <w:rFonts w:cs="Arial"/>
        </w:rPr>
        <w:t xml:space="preserve">in its </w:t>
      </w:r>
      <w:r w:rsidR="00412889">
        <w:rPr>
          <w:rFonts w:cs="Arial"/>
        </w:rPr>
        <w:t xml:space="preserve">savings and </w:t>
      </w:r>
      <w:r w:rsidR="00412889">
        <w:rPr>
          <w:rFonts w:cs="Arial"/>
        </w:rPr>
        <w:lastRenderedPageBreak/>
        <w:t>cost and benefit estimates</w:t>
      </w:r>
      <w:r w:rsidR="00587F43">
        <w:rPr>
          <w:rFonts w:cs="Arial"/>
        </w:rPr>
        <w:t>.</w:t>
      </w:r>
      <w:r>
        <w:rPr>
          <w:rFonts w:cs="Arial"/>
        </w:rPr>
        <w:t xml:space="preserve"> The RTF also accounts for wood reductions in this way for other HVAC and weatherization measures</w:t>
      </w:r>
      <w:r w:rsidR="00F35F6F">
        <w:rPr>
          <w:rFonts w:cs="Arial"/>
        </w:rPr>
        <w:t>.</w:t>
      </w:r>
    </w:p>
    <w:p w:rsidR="00412889" w:rsidRPr="009D3521" w:rsidRDefault="00536F79" w:rsidP="009D3521">
      <w:pPr>
        <w:pStyle w:val="ListParagraph"/>
        <w:numPr>
          <w:ilvl w:val="0"/>
          <w:numId w:val="10"/>
        </w:numPr>
        <w:rPr>
          <w:rFonts w:cs="Arial"/>
        </w:rPr>
      </w:pPr>
      <w:r>
        <w:rPr>
          <w:rFonts w:cs="Arial"/>
          <w:b/>
        </w:rPr>
        <w:t>Wood</w:t>
      </w:r>
      <w:r w:rsidR="00553EF3">
        <w:rPr>
          <w:rFonts w:cs="Arial"/>
          <w:b/>
        </w:rPr>
        <w:t xml:space="preserve"> use changes can be quantified and </w:t>
      </w:r>
      <w:r w:rsidR="00911A20" w:rsidRPr="00CF6B18">
        <w:rPr>
          <w:rFonts w:cs="Arial"/>
          <w:b/>
        </w:rPr>
        <w:t xml:space="preserve">would need to be determined on a measure </w:t>
      </w:r>
      <w:r w:rsidR="00751787">
        <w:rPr>
          <w:rFonts w:cs="Arial"/>
          <w:b/>
        </w:rPr>
        <w:t>category</w:t>
      </w:r>
      <w:r w:rsidR="00911A20" w:rsidRPr="00CF6B18">
        <w:rPr>
          <w:rFonts w:cs="Arial"/>
          <w:b/>
        </w:rPr>
        <w:t xml:space="preserve"> basis.</w:t>
      </w:r>
      <w:r w:rsidR="00911A20" w:rsidRPr="009D3521">
        <w:rPr>
          <w:rFonts w:cs="Arial"/>
          <w:b/>
        </w:rPr>
        <w:t xml:space="preserve"> </w:t>
      </w:r>
      <w:r w:rsidR="00CF6B18" w:rsidRPr="009D3521">
        <w:rPr>
          <w:rFonts w:cs="Arial"/>
        </w:rPr>
        <w:t xml:space="preserve">Ductless heat pumps were used in the example given the robustness of the data supporting the energy savings estimates. The description of methodology demonstrates that each measure that interacts with the heating system </w:t>
      </w:r>
      <w:r w:rsidR="00553EF3" w:rsidRPr="009D3521">
        <w:rPr>
          <w:rFonts w:cs="Arial"/>
        </w:rPr>
        <w:t xml:space="preserve">(including those that could potentially increase the use of supplemental wood heating) </w:t>
      </w:r>
      <w:r w:rsidR="00CF6B18" w:rsidRPr="009D3521">
        <w:rPr>
          <w:rFonts w:cs="Arial"/>
        </w:rPr>
        <w:t>would need to be assessed separately</w:t>
      </w:r>
      <w:r w:rsidR="00553EF3" w:rsidRPr="009D3521">
        <w:rPr>
          <w:rFonts w:cs="Arial"/>
        </w:rPr>
        <w:t>.</w:t>
      </w:r>
    </w:p>
    <w:p w:rsidR="009D3521" w:rsidRDefault="009D3521" w:rsidP="00412889">
      <w:pPr>
        <w:rPr>
          <w:rFonts w:ascii="Arial" w:hAnsi="Arial" w:cs="Arial"/>
          <w:i/>
        </w:rPr>
      </w:pPr>
    </w:p>
    <w:p w:rsidR="00412889" w:rsidRPr="00553EF3" w:rsidRDefault="00412889" w:rsidP="00412889">
      <w:pPr>
        <w:rPr>
          <w:rFonts w:ascii="Arial" w:hAnsi="Arial" w:cs="Arial"/>
          <w:i/>
        </w:rPr>
      </w:pPr>
      <w:r w:rsidRPr="00553EF3">
        <w:rPr>
          <w:rFonts w:ascii="Arial" w:hAnsi="Arial" w:cs="Arial"/>
          <w:i/>
        </w:rPr>
        <w:t>Steps 2-4: Monetizing the Resulting Health Impacts</w:t>
      </w:r>
    </w:p>
    <w:p w:rsidR="00412889" w:rsidRPr="00553EF3" w:rsidRDefault="00412889" w:rsidP="00412889">
      <w:pPr>
        <w:rPr>
          <w:rFonts w:ascii="Arial" w:hAnsi="Arial" w:cs="Arial"/>
        </w:rPr>
      </w:pPr>
    </w:p>
    <w:p w:rsidR="00F35F6F" w:rsidRDefault="009D3521" w:rsidP="00412889">
      <w:pPr>
        <w:pStyle w:val="ListParagraph"/>
        <w:numPr>
          <w:ilvl w:val="0"/>
          <w:numId w:val="14"/>
        </w:numPr>
        <w:rPr>
          <w:rFonts w:cs="Arial"/>
        </w:rPr>
      </w:pPr>
      <w:r>
        <w:rPr>
          <w:rFonts w:cs="Arial"/>
          <w:b/>
        </w:rPr>
        <w:t xml:space="preserve">If the Council finds that health impacts </w:t>
      </w:r>
      <w:r w:rsidR="00751787">
        <w:rPr>
          <w:rFonts w:cs="Arial"/>
          <w:b/>
        </w:rPr>
        <w:t xml:space="preserve">from wood smoke emissions </w:t>
      </w:r>
      <w:r>
        <w:rPr>
          <w:rFonts w:cs="Arial"/>
          <w:b/>
        </w:rPr>
        <w:t xml:space="preserve">should be a part of its cost effectiveness analysis, the RTF notes that there is a methodology used by EPA to quantify and monetize impacts and </w:t>
      </w:r>
      <w:r w:rsidR="00751787">
        <w:rPr>
          <w:rFonts w:cs="Arial"/>
          <w:b/>
        </w:rPr>
        <w:t xml:space="preserve">is accepted as best practice. </w:t>
      </w:r>
      <w:r w:rsidR="00412889" w:rsidRPr="00553EF3">
        <w:rPr>
          <w:rFonts w:cs="Arial"/>
        </w:rPr>
        <w:t xml:space="preserve">As a body, the RTF does not </w:t>
      </w:r>
      <w:r w:rsidR="00F13BAE" w:rsidRPr="00553EF3">
        <w:rPr>
          <w:rFonts w:cs="Arial"/>
        </w:rPr>
        <w:t>have</w:t>
      </w:r>
      <w:r w:rsidR="007D25DA">
        <w:rPr>
          <w:rFonts w:cs="Arial"/>
        </w:rPr>
        <w:t xml:space="preserve"> sufficient expertise to develop a methodology for quantifying the health </w:t>
      </w:r>
      <w:r w:rsidR="007D25DA" w:rsidRPr="00751787">
        <w:rPr>
          <w:rFonts w:cs="Arial"/>
        </w:rPr>
        <w:t>impacts</w:t>
      </w:r>
      <w:r w:rsidR="00A50DD1" w:rsidRPr="00751787">
        <w:rPr>
          <w:rFonts w:cs="Arial"/>
        </w:rPr>
        <w:t xml:space="preserve"> (and as noted above, this is outside the current RTF charter)</w:t>
      </w:r>
      <w:r w:rsidR="007D25DA" w:rsidRPr="00751787">
        <w:rPr>
          <w:rFonts w:cs="Arial"/>
        </w:rPr>
        <w:t xml:space="preserve">. </w:t>
      </w:r>
      <w:r w:rsidR="00412889" w:rsidRPr="00751787">
        <w:rPr>
          <w:rFonts w:cs="Arial"/>
        </w:rPr>
        <w:t>The RTF wa</w:t>
      </w:r>
      <w:r w:rsidR="00F13BAE" w:rsidRPr="00751787">
        <w:rPr>
          <w:rFonts w:cs="Arial"/>
        </w:rPr>
        <w:t xml:space="preserve">s </w:t>
      </w:r>
      <w:r w:rsidR="00412889" w:rsidRPr="00751787">
        <w:rPr>
          <w:rFonts w:cs="Arial"/>
        </w:rPr>
        <w:t>generally satisfied with the technical underpinnings of the methodology used by EPA</w:t>
      </w:r>
      <w:r w:rsidR="00412889">
        <w:rPr>
          <w:rFonts w:cs="Arial"/>
        </w:rPr>
        <w:t xml:space="preserve"> and other regulators</w:t>
      </w:r>
      <w:r w:rsidR="00F35F6F">
        <w:rPr>
          <w:rFonts w:cs="Arial"/>
        </w:rPr>
        <w:t>.</w:t>
      </w:r>
    </w:p>
    <w:p w:rsidR="00587F43" w:rsidRPr="00751787" w:rsidRDefault="00751787" w:rsidP="00412889">
      <w:pPr>
        <w:pStyle w:val="ListParagraph"/>
        <w:numPr>
          <w:ilvl w:val="0"/>
          <w:numId w:val="14"/>
        </w:numPr>
        <w:rPr>
          <w:rFonts w:cs="Arial"/>
        </w:rPr>
      </w:pPr>
      <w:r>
        <w:rPr>
          <w:rFonts w:cs="Arial"/>
          <w:b/>
        </w:rPr>
        <w:t>A</w:t>
      </w:r>
      <w:r w:rsidR="00190823" w:rsidRPr="00477E1E">
        <w:rPr>
          <w:rFonts w:cs="Arial"/>
          <w:b/>
        </w:rPr>
        <w:t xml:space="preserve"> more sophisticated dispersion model would be required to be consistent </w:t>
      </w:r>
      <w:r w:rsidR="00F13BAE" w:rsidRPr="00477E1E">
        <w:rPr>
          <w:rFonts w:cs="Arial"/>
          <w:b/>
        </w:rPr>
        <w:t xml:space="preserve">with EPA </w:t>
      </w:r>
      <w:r w:rsidR="00F13BAE" w:rsidRPr="00751787">
        <w:rPr>
          <w:rFonts w:cs="Arial"/>
          <w:b/>
        </w:rPr>
        <w:t>methodology</w:t>
      </w:r>
      <w:r w:rsidR="00477E1E" w:rsidRPr="00751787">
        <w:rPr>
          <w:rFonts w:cs="Arial"/>
          <w:b/>
        </w:rPr>
        <w:t xml:space="preserve"> that accounts for </w:t>
      </w:r>
      <w:proofErr w:type="spellStart"/>
      <w:r w:rsidR="00536F79" w:rsidRPr="00751787">
        <w:rPr>
          <w:rFonts w:cs="Arial"/>
          <w:b/>
        </w:rPr>
        <w:t>locational</w:t>
      </w:r>
      <w:proofErr w:type="spellEnd"/>
      <w:r w:rsidR="00536F79" w:rsidRPr="00477E1E">
        <w:rPr>
          <w:rFonts w:cs="Arial"/>
          <w:b/>
        </w:rPr>
        <w:t xml:space="preserve"> impacts of emissions and partial-year effects.</w:t>
      </w:r>
      <w:r w:rsidR="00536F79">
        <w:rPr>
          <w:rFonts w:cs="Arial"/>
        </w:rPr>
        <w:t xml:space="preserve"> </w:t>
      </w:r>
      <w:r w:rsidRPr="00477E1E">
        <w:rPr>
          <w:rFonts w:cs="Arial"/>
        </w:rPr>
        <w:t>The RTF staff used the Co-Benefit Risk Assessment (COBRA) model</w:t>
      </w:r>
      <w:r w:rsidRPr="00751787">
        <w:rPr>
          <w:rFonts w:cs="Arial"/>
        </w:rPr>
        <w:t>, which looks at emissions over a single year. EPA uses this as a screening tool only.</w:t>
      </w:r>
    </w:p>
    <w:p w:rsidR="00536F79" w:rsidRPr="00751787" w:rsidRDefault="00751787" w:rsidP="00536F79">
      <w:pPr>
        <w:pStyle w:val="ListParagraph"/>
        <w:numPr>
          <w:ilvl w:val="0"/>
          <w:numId w:val="14"/>
        </w:numPr>
        <w:rPr>
          <w:rFonts w:cs="Arial"/>
        </w:rPr>
      </w:pPr>
      <w:r w:rsidRPr="00751787">
        <w:rPr>
          <w:rFonts w:cs="Arial"/>
          <w:b/>
        </w:rPr>
        <w:t>The m</w:t>
      </w:r>
      <w:r w:rsidR="00477E1E" w:rsidRPr="00751787">
        <w:rPr>
          <w:rFonts w:cs="Arial"/>
          <w:b/>
        </w:rPr>
        <w:t xml:space="preserve">onetized value of </w:t>
      </w:r>
      <w:r w:rsidRPr="00751787">
        <w:rPr>
          <w:rFonts w:cs="Arial"/>
          <w:b/>
        </w:rPr>
        <w:t>h</w:t>
      </w:r>
      <w:r w:rsidR="00536F79" w:rsidRPr="00751787">
        <w:rPr>
          <w:rFonts w:cs="Arial"/>
          <w:b/>
        </w:rPr>
        <w:t xml:space="preserve">ealth impacts, for at least some measures, </w:t>
      </w:r>
      <w:r w:rsidR="00477E1E" w:rsidRPr="00751787">
        <w:rPr>
          <w:rFonts w:cs="Arial"/>
          <w:b/>
        </w:rPr>
        <w:t xml:space="preserve">can be </w:t>
      </w:r>
      <w:r w:rsidR="00536F79" w:rsidRPr="00751787">
        <w:rPr>
          <w:rFonts w:cs="Arial"/>
          <w:b/>
        </w:rPr>
        <w:t xml:space="preserve">significant. </w:t>
      </w:r>
      <w:r w:rsidR="001505D3" w:rsidRPr="00751787">
        <w:rPr>
          <w:rFonts w:cs="Arial"/>
        </w:rPr>
        <w:t xml:space="preserve">Based on the RTF Staff Report, </w:t>
      </w:r>
      <w:r w:rsidR="00536F79" w:rsidRPr="00751787">
        <w:rPr>
          <w:rFonts w:cs="Arial"/>
        </w:rPr>
        <w:t xml:space="preserve">The ductless heat pump example shows that the potential health impacts are significant (the estimate benefits per </w:t>
      </w:r>
      <w:r w:rsidR="001505D3" w:rsidRPr="00751787">
        <w:rPr>
          <w:rFonts w:cs="Arial"/>
        </w:rPr>
        <w:t xml:space="preserve">unit of energy </w:t>
      </w:r>
      <w:r w:rsidR="00536F79" w:rsidRPr="00751787">
        <w:rPr>
          <w:rFonts w:cs="Arial"/>
        </w:rPr>
        <w:t xml:space="preserve">saved are on the </w:t>
      </w:r>
      <w:r w:rsidR="001505D3" w:rsidRPr="00751787">
        <w:rPr>
          <w:rFonts w:cs="Arial"/>
        </w:rPr>
        <w:t xml:space="preserve">same </w:t>
      </w:r>
      <w:r w:rsidR="00536F79" w:rsidRPr="00751787">
        <w:rPr>
          <w:rFonts w:cs="Arial"/>
        </w:rPr>
        <w:t xml:space="preserve">order of magnitude </w:t>
      </w:r>
      <w:r w:rsidR="001505D3" w:rsidRPr="00751787">
        <w:rPr>
          <w:rFonts w:cs="Arial"/>
        </w:rPr>
        <w:t xml:space="preserve">as the value of conserved </w:t>
      </w:r>
      <w:r w:rsidR="00536F79" w:rsidRPr="00751787">
        <w:rPr>
          <w:rFonts w:cs="Arial"/>
        </w:rPr>
        <w:t>electricity).</w:t>
      </w:r>
    </w:p>
    <w:p w:rsidR="00536F79" w:rsidRPr="009D3521" w:rsidRDefault="00536F79" w:rsidP="009D3521">
      <w:pPr>
        <w:rPr>
          <w:rFonts w:cs="Arial"/>
        </w:rPr>
      </w:pPr>
    </w:p>
    <w:p w:rsidR="00987C3E" w:rsidRPr="00536F79" w:rsidRDefault="00DF55EC" w:rsidP="00412889">
      <w:pPr>
        <w:rPr>
          <w:rFonts w:ascii="Arial" w:hAnsi="Arial" w:cs="Arial"/>
          <w:b/>
        </w:rPr>
      </w:pPr>
      <w:r w:rsidRPr="00536F79">
        <w:rPr>
          <w:rFonts w:ascii="Arial" w:hAnsi="Arial" w:cs="Arial"/>
          <w:b/>
        </w:rPr>
        <w:t>RTF Feedback on Technical Issues Raised by the Ductless Heat Pump Example</w:t>
      </w:r>
    </w:p>
    <w:p w:rsidR="00924896" w:rsidRPr="00536F79" w:rsidRDefault="00924896" w:rsidP="00CD647D">
      <w:pPr>
        <w:rPr>
          <w:rFonts w:ascii="Arial" w:hAnsi="Arial" w:cs="Arial"/>
        </w:rPr>
      </w:pPr>
    </w:p>
    <w:p w:rsidR="007C677C" w:rsidRPr="00536F79" w:rsidRDefault="00FD0C69" w:rsidP="006C73EF">
      <w:pPr>
        <w:rPr>
          <w:rFonts w:ascii="Arial" w:hAnsi="Arial" w:cs="Arial"/>
          <w:i/>
        </w:rPr>
      </w:pPr>
      <w:r>
        <w:rPr>
          <w:rFonts w:ascii="Arial" w:hAnsi="Arial" w:cs="Arial"/>
          <w:i/>
        </w:rPr>
        <w:t>Reliability of Existing Estimates for Quantifying Changes in Wood Use</w:t>
      </w:r>
    </w:p>
    <w:p w:rsidR="00F75FA0" w:rsidRDefault="006C73EF" w:rsidP="006C73EF">
      <w:pPr>
        <w:rPr>
          <w:rFonts w:ascii="Arial" w:hAnsi="Arial" w:cs="Arial"/>
        </w:rPr>
      </w:pPr>
      <w:r w:rsidRPr="00536F79">
        <w:rPr>
          <w:rFonts w:ascii="Arial" w:hAnsi="Arial" w:cs="Arial"/>
        </w:rPr>
        <w:t>The RTF estimates of energy savings and wood smoke reduction resulting from the ductless</w:t>
      </w:r>
      <w:r>
        <w:rPr>
          <w:rFonts w:ascii="Arial" w:hAnsi="Arial" w:cs="Arial"/>
        </w:rPr>
        <w:t xml:space="preserve"> heat pump measure rely on one of the RTF’s most robust </w:t>
      </w:r>
      <w:r w:rsidR="006158AE">
        <w:rPr>
          <w:rFonts w:ascii="Arial" w:hAnsi="Arial" w:cs="Arial"/>
        </w:rPr>
        <w:t xml:space="preserve">measure </w:t>
      </w:r>
      <w:r>
        <w:rPr>
          <w:rFonts w:ascii="Arial" w:hAnsi="Arial" w:cs="Arial"/>
        </w:rPr>
        <w:t>analyses. Specifically, this analysis is based on a large sample (3,400) of billing data and set of metering data.</w:t>
      </w:r>
      <w:r w:rsidR="00F75FA0">
        <w:rPr>
          <w:rFonts w:ascii="Arial" w:hAnsi="Arial" w:cs="Arial"/>
        </w:rPr>
        <w:t xml:space="preserve"> The wood use change estimates for other RTF measures do not meet this same quality standard.</w:t>
      </w:r>
      <w:r w:rsidR="00924896">
        <w:rPr>
          <w:rFonts w:ascii="Arial" w:hAnsi="Arial" w:cs="Arial"/>
        </w:rPr>
        <w:t xml:space="preserve"> </w:t>
      </w:r>
      <w:r w:rsidR="00F75FA0">
        <w:rPr>
          <w:rFonts w:ascii="Arial" w:hAnsi="Arial" w:cs="Arial"/>
        </w:rPr>
        <w:t xml:space="preserve">That being said, if asked, the RTF at this time does not have a consensus position as to whether </w:t>
      </w:r>
      <w:r w:rsidR="00924896">
        <w:rPr>
          <w:rFonts w:ascii="Arial" w:hAnsi="Arial" w:cs="Arial"/>
        </w:rPr>
        <w:t>the</w:t>
      </w:r>
      <w:r w:rsidR="009D3521">
        <w:rPr>
          <w:rFonts w:ascii="Arial" w:hAnsi="Arial" w:cs="Arial"/>
        </w:rPr>
        <w:t xml:space="preserve"> </w:t>
      </w:r>
      <w:r w:rsidR="00924896">
        <w:rPr>
          <w:rFonts w:ascii="Arial" w:hAnsi="Arial" w:cs="Arial"/>
        </w:rPr>
        <w:t>ductless heat pump analysis</w:t>
      </w:r>
      <w:r w:rsidR="00F75FA0">
        <w:rPr>
          <w:rFonts w:ascii="Arial" w:hAnsi="Arial" w:cs="Arial"/>
        </w:rPr>
        <w:t xml:space="preserve"> is sufficient for quantifying changes in wood smoke.</w:t>
      </w:r>
    </w:p>
    <w:p w:rsidR="00924896" w:rsidRDefault="00924896" w:rsidP="006C73EF">
      <w:pPr>
        <w:rPr>
          <w:rFonts w:ascii="Arial" w:hAnsi="Arial" w:cs="Arial"/>
        </w:rPr>
      </w:pPr>
    </w:p>
    <w:p w:rsidR="00924896" w:rsidRDefault="00536F79" w:rsidP="006C73EF">
      <w:pPr>
        <w:rPr>
          <w:rFonts w:ascii="Arial" w:hAnsi="Arial" w:cs="Arial"/>
        </w:rPr>
      </w:pPr>
      <w:r>
        <w:rPr>
          <w:rFonts w:ascii="Arial" w:hAnsi="Arial" w:cs="Arial"/>
        </w:rPr>
        <w:t xml:space="preserve">If </w:t>
      </w:r>
      <w:r w:rsidR="00924896">
        <w:rPr>
          <w:rFonts w:ascii="Arial" w:hAnsi="Arial" w:cs="Arial"/>
        </w:rPr>
        <w:t>the Council determine</w:t>
      </w:r>
      <w:r>
        <w:rPr>
          <w:rFonts w:ascii="Arial" w:hAnsi="Arial" w:cs="Arial"/>
        </w:rPr>
        <w:t>s</w:t>
      </w:r>
      <w:r w:rsidR="00924896">
        <w:rPr>
          <w:rFonts w:ascii="Arial" w:hAnsi="Arial" w:cs="Arial"/>
        </w:rPr>
        <w:t xml:space="preserve"> that such health impacts should be included in future cost </w:t>
      </w:r>
      <w:r>
        <w:rPr>
          <w:rFonts w:ascii="Arial" w:hAnsi="Arial" w:cs="Arial"/>
        </w:rPr>
        <w:t xml:space="preserve">effectiveness </w:t>
      </w:r>
      <w:r w:rsidR="00924896">
        <w:rPr>
          <w:rFonts w:ascii="Arial" w:hAnsi="Arial" w:cs="Arial"/>
        </w:rPr>
        <w:t xml:space="preserve">analyses, the RTF suggests weighing the following considerations when determining the appropriate level of precision to quantify energy efficiency related wood use reductions: </w:t>
      </w:r>
    </w:p>
    <w:p w:rsidR="00F35F6F" w:rsidRDefault="009D3521" w:rsidP="00924896">
      <w:pPr>
        <w:pStyle w:val="ListParagraph"/>
        <w:numPr>
          <w:ilvl w:val="0"/>
          <w:numId w:val="19"/>
        </w:numPr>
        <w:rPr>
          <w:rFonts w:cs="Arial"/>
        </w:rPr>
      </w:pPr>
      <w:r w:rsidRPr="0098599E">
        <w:rPr>
          <w:rFonts w:cs="Arial"/>
          <w:b/>
        </w:rPr>
        <w:t>Account for differences within specific heating zones.</w:t>
      </w:r>
      <w:r>
        <w:rPr>
          <w:rFonts w:cs="Arial"/>
        </w:rPr>
        <w:t xml:space="preserve"> </w:t>
      </w:r>
      <w:r w:rsidR="0098599E">
        <w:rPr>
          <w:rFonts w:cs="Arial"/>
        </w:rPr>
        <w:t xml:space="preserve">The RTF developed its current wood use estimates based on heating zone. Health impacts, however, are very sensitive to geographic variations in wood consumption and population density. Differences in wood consumption and population density should be considered when </w:t>
      </w:r>
      <w:r w:rsidR="0098599E">
        <w:rPr>
          <w:rFonts w:cs="Arial"/>
        </w:rPr>
        <w:lastRenderedPageBreak/>
        <w:t>attempting to quantify the directly attributable health impacts of changes in wood use</w:t>
      </w:r>
      <w:r w:rsidR="00F35F6F">
        <w:rPr>
          <w:rFonts w:cs="Arial"/>
        </w:rPr>
        <w:t>.</w:t>
      </w:r>
    </w:p>
    <w:p w:rsidR="00C417DD" w:rsidRDefault="00924896" w:rsidP="00924896">
      <w:pPr>
        <w:pStyle w:val="ListParagraph"/>
        <w:numPr>
          <w:ilvl w:val="0"/>
          <w:numId w:val="19"/>
        </w:numPr>
        <w:rPr>
          <w:rFonts w:cs="Arial"/>
        </w:rPr>
      </w:pPr>
      <w:r w:rsidRPr="00924896">
        <w:rPr>
          <w:rFonts w:cs="Arial"/>
          <w:b/>
        </w:rPr>
        <w:t>Use of control groups would help to account for outside drivers</w:t>
      </w:r>
      <w:r>
        <w:rPr>
          <w:rFonts w:cs="Arial"/>
        </w:rPr>
        <w:t>. Wood use is volatile and is not necessarily tied to an energy efficiency decision. Therefore, control groups to account for outside drivers (such as burn bans) would ensure a more robust analysis</w:t>
      </w:r>
      <w:r w:rsidR="00C417DD">
        <w:rPr>
          <w:rFonts w:cs="Arial"/>
        </w:rPr>
        <w:t>.</w:t>
      </w:r>
    </w:p>
    <w:p w:rsidR="000441B4" w:rsidRPr="00ED124B" w:rsidRDefault="00CD647D" w:rsidP="000441B4">
      <w:pPr>
        <w:pStyle w:val="ListParagraph"/>
        <w:numPr>
          <w:ilvl w:val="0"/>
          <w:numId w:val="17"/>
        </w:numPr>
        <w:rPr>
          <w:rFonts w:cs="Arial"/>
        </w:rPr>
      </w:pPr>
      <w:r w:rsidRPr="00924896">
        <w:rPr>
          <w:rFonts w:cs="Arial"/>
          <w:b/>
        </w:rPr>
        <w:t>A more sophisticated dispersion model may require more granular inputs.</w:t>
      </w:r>
      <w:r>
        <w:rPr>
          <w:rFonts w:cs="Arial"/>
        </w:rPr>
        <w:t xml:space="preserve"> The RTF did not spend any resources to investigate the data input requirements of the more sophisticated tools</w:t>
      </w:r>
      <w:r w:rsidR="004B3086">
        <w:rPr>
          <w:rFonts w:cs="Arial"/>
        </w:rPr>
        <w:t xml:space="preserve"> </w:t>
      </w:r>
      <w:r w:rsidR="008F3151">
        <w:rPr>
          <w:rFonts w:cs="Arial"/>
        </w:rPr>
        <w:t xml:space="preserve">used </w:t>
      </w:r>
      <w:r w:rsidR="004B3086">
        <w:rPr>
          <w:rFonts w:cs="Arial"/>
        </w:rPr>
        <w:t>by the EPA</w:t>
      </w:r>
      <w:r>
        <w:rPr>
          <w:rFonts w:cs="Arial"/>
        </w:rPr>
        <w:t>. It is reasonable to assume that they may require more granular data inputs at the county level</w:t>
      </w:r>
      <w:r w:rsidR="00F72D0F">
        <w:rPr>
          <w:rFonts w:cs="Arial"/>
        </w:rPr>
        <w:t>.</w:t>
      </w:r>
    </w:p>
    <w:p w:rsidR="009D3521" w:rsidRPr="009D3521" w:rsidRDefault="009D3521" w:rsidP="009D3521">
      <w:pPr>
        <w:rPr>
          <w:rFonts w:cs="Arial"/>
        </w:rPr>
      </w:pPr>
    </w:p>
    <w:p w:rsidR="00B64039" w:rsidRPr="00ED124B" w:rsidRDefault="00924896" w:rsidP="00B64039">
      <w:pPr>
        <w:rPr>
          <w:rFonts w:ascii="Arial" w:hAnsi="Arial" w:cs="Arial"/>
          <w:strike/>
        </w:rPr>
      </w:pPr>
      <w:r w:rsidRPr="00ED124B">
        <w:rPr>
          <w:rFonts w:ascii="Arial" w:hAnsi="Arial" w:cs="Arial"/>
          <w:i/>
        </w:rPr>
        <w:t xml:space="preserve">Resources </w:t>
      </w:r>
      <w:r w:rsidR="00BA25AB" w:rsidRPr="00ED124B">
        <w:rPr>
          <w:rFonts w:ascii="Arial" w:hAnsi="Arial" w:cs="Arial"/>
          <w:i/>
        </w:rPr>
        <w:t xml:space="preserve">Requirements </w:t>
      </w:r>
    </w:p>
    <w:p w:rsidR="006F47AC" w:rsidRDefault="00536F79" w:rsidP="000F36C0">
      <w:pPr>
        <w:rPr>
          <w:rFonts w:ascii="Arial" w:hAnsi="Arial" w:cs="Arial"/>
        </w:rPr>
      </w:pPr>
      <w:r>
        <w:rPr>
          <w:rFonts w:ascii="Arial" w:hAnsi="Arial" w:cs="Arial"/>
        </w:rPr>
        <w:t>The</w:t>
      </w:r>
      <w:r w:rsidR="00924896">
        <w:rPr>
          <w:rFonts w:ascii="Arial" w:hAnsi="Arial" w:cs="Arial"/>
        </w:rPr>
        <w:t xml:space="preserve"> RTF spent approximately $100,000 on the analysis to date, plus used an </w:t>
      </w:r>
      <w:r w:rsidR="00924896" w:rsidRPr="00EE16AF">
        <w:rPr>
          <w:rFonts w:ascii="Arial" w:hAnsi="Arial" w:cs="Arial"/>
        </w:rPr>
        <w:t>additional 10 hours of RTF me</w:t>
      </w:r>
      <w:r w:rsidR="00F977D8" w:rsidRPr="00EE16AF">
        <w:rPr>
          <w:rFonts w:ascii="Arial" w:hAnsi="Arial" w:cs="Arial"/>
        </w:rPr>
        <w:t xml:space="preserve">eting time to review work. This does not include the resources that went into collecting the initial billing and interview data about ductless heat pumps. Further assessment </w:t>
      </w:r>
      <w:r w:rsidR="0098599E">
        <w:rPr>
          <w:rFonts w:ascii="Arial" w:hAnsi="Arial" w:cs="Arial"/>
        </w:rPr>
        <w:t xml:space="preserve">will be required to understand the relationship between wood use and the installation of an energy efficiency measure. There would also need to be regular studies to </w:t>
      </w:r>
      <w:r w:rsidR="0098599E" w:rsidRPr="00751787">
        <w:rPr>
          <w:rFonts w:ascii="Arial" w:hAnsi="Arial" w:cs="Arial"/>
        </w:rPr>
        <w:t>understand wood use changes</w:t>
      </w:r>
      <w:r w:rsidR="00751787" w:rsidRPr="00751787">
        <w:rPr>
          <w:rFonts w:ascii="Arial" w:hAnsi="Arial" w:cs="Arial"/>
        </w:rPr>
        <w:t>. The required resources are likely beyond just Council and RTF resources.</w:t>
      </w:r>
    </w:p>
    <w:p w:rsidR="006F47AC" w:rsidRPr="00751787" w:rsidRDefault="006F47AC" w:rsidP="000F36C0">
      <w:pPr>
        <w:rPr>
          <w:rFonts w:ascii="Arial" w:hAnsi="Arial" w:cs="Arial"/>
        </w:rPr>
      </w:pPr>
    </w:p>
    <w:sectPr w:rsidR="006F47AC" w:rsidRPr="00751787" w:rsidSect="001851F0">
      <w:headerReference w:type="even" r:id="rId8"/>
      <w:headerReference w:type="default" r:id="rId9"/>
      <w:footerReference w:type="even" r:id="rId10"/>
      <w:footerReference w:type="default" r:id="rId11"/>
      <w:headerReference w:type="first" r:id="rId12"/>
      <w:footerReference w:type="first" r:id="rId13"/>
      <w:pgSz w:w="12240" w:h="15840"/>
      <w:pgMar w:top="1008" w:right="1080" w:bottom="1008"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24B" w:rsidRDefault="00ED124B" w:rsidP="00F35F6F">
      <w:r>
        <w:separator/>
      </w:r>
    </w:p>
  </w:endnote>
  <w:endnote w:type="continuationSeparator" w:id="0">
    <w:p w:rsidR="00ED124B" w:rsidRDefault="00ED124B" w:rsidP="00F35F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24B" w:rsidRDefault="00ED12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24B" w:rsidRDefault="00ED12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24B" w:rsidRDefault="00ED12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24B" w:rsidRDefault="00ED124B" w:rsidP="00F35F6F">
      <w:r>
        <w:separator/>
      </w:r>
    </w:p>
  </w:footnote>
  <w:footnote w:type="continuationSeparator" w:id="0">
    <w:p w:rsidR="00ED124B" w:rsidRDefault="00ED124B" w:rsidP="00F35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24B" w:rsidRDefault="00ED12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24B" w:rsidRDefault="00ED12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24B" w:rsidRDefault="00ED12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5424"/>
    <w:multiLevelType w:val="hybridMultilevel"/>
    <w:tmpl w:val="7478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50D0B"/>
    <w:multiLevelType w:val="hybridMultilevel"/>
    <w:tmpl w:val="81900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75CE6"/>
    <w:multiLevelType w:val="hybridMultilevel"/>
    <w:tmpl w:val="5324260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20661050"/>
    <w:multiLevelType w:val="hybridMultilevel"/>
    <w:tmpl w:val="E4DE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D46269"/>
    <w:multiLevelType w:val="hybridMultilevel"/>
    <w:tmpl w:val="3B904D60"/>
    <w:lvl w:ilvl="0" w:tplc="965CF54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27291816"/>
    <w:multiLevelType w:val="hybridMultilevel"/>
    <w:tmpl w:val="1A5E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F17FB5"/>
    <w:multiLevelType w:val="hybridMultilevel"/>
    <w:tmpl w:val="3DAA2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45513E"/>
    <w:multiLevelType w:val="hybridMultilevel"/>
    <w:tmpl w:val="FCE4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C80077"/>
    <w:multiLevelType w:val="hybridMultilevel"/>
    <w:tmpl w:val="1A86E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EC17B8"/>
    <w:multiLevelType w:val="hybridMultilevel"/>
    <w:tmpl w:val="699C0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0F4924"/>
    <w:multiLevelType w:val="hybridMultilevel"/>
    <w:tmpl w:val="6722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FE1DCE"/>
    <w:multiLevelType w:val="hybridMultilevel"/>
    <w:tmpl w:val="5DA84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D85193"/>
    <w:multiLevelType w:val="hybridMultilevel"/>
    <w:tmpl w:val="701A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2E547C"/>
    <w:multiLevelType w:val="hybridMultilevel"/>
    <w:tmpl w:val="9BB885DA"/>
    <w:lvl w:ilvl="0" w:tplc="5DB2EE8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5C58E0"/>
    <w:multiLevelType w:val="hybridMultilevel"/>
    <w:tmpl w:val="870C676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nsid w:val="61E844D8"/>
    <w:multiLevelType w:val="hybridMultilevel"/>
    <w:tmpl w:val="C054F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4F68C2"/>
    <w:multiLevelType w:val="hybridMultilevel"/>
    <w:tmpl w:val="580C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BC6B6E"/>
    <w:multiLevelType w:val="hybridMultilevel"/>
    <w:tmpl w:val="5D2E2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DB4460"/>
    <w:multiLevelType w:val="hybridMultilevel"/>
    <w:tmpl w:val="8F2C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
  </w:num>
  <w:num w:numId="4">
    <w:abstractNumId w:val="2"/>
  </w:num>
  <w:num w:numId="5">
    <w:abstractNumId w:val="4"/>
  </w:num>
  <w:num w:numId="6">
    <w:abstractNumId w:val="18"/>
  </w:num>
  <w:num w:numId="7">
    <w:abstractNumId w:val="0"/>
  </w:num>
  <w:num w:numId="8">
    <w:abstractNumId w:val="9"/>
  </w:num>
  <w:num w:numId="9">
    <w:abstractNumId w:val="3"/>
  </w:num>
  <w:num w:numId="10">
    <w:abstractNumId w:val="5"/>
  </w:num>
  <w:num w:numId="11">
    <w:abstractNumId w:val="10"/>
  </w:num>
  <w:num w:numId="12">
    <w:abstractNumId w:val="13"/>
  </w:num>
  <w:num w:numId="13">
    <w:abstractNumId w:val="12"/>
  </w:num>
  <w:num w:numId="14">
    <w:abstractNumId w:val="17"/>
  </w:num>
  <w:num w:numId="15">
    <w:abstractNumId w:val="6"/>
  </w:num>
  <w:num w:numId="16">
    <w:abstractNumId w:val="7"/>
  </w:num>
  <w:num w:numId="17">
    <w:abstractNumId w:val="15"/>
  </w:num>
  <w:num w:numId="18">
    <w:abstractNumId w:val="1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rsids>
    <w:rsidRoot w:val="0088493F"/>
    <w:rsid w:val="0001650F"/>
    <w:rsid w:val="000340EA"/>
    <w:rsid w:val="000441B4"/>
    <w:rsid w:val="0005279A"/>
    <w:rsid w:val="000904F3"/>
    <w:rsid w:val="000A7E95"/>
    <w:rsid w:val="000B0149"/>
    <w:rsid w:val="000B01DD"/>
    <w:rsid w:val="000F3064"/>
    <w:rsid w:val="000F36C0"/>
    <w:rsid w:val="00107B01"/>
    <w:rsid w:val="00122401"/>
    <w:rsid w:val="001238E3"/>
    <w:rsid w:val="00125C3A"/>
    <w:rsid w:val="00134AD2"/>
    <w:rsid w:val="00142EFC"/>
    <w:rsid w:val="001505D3"/>
    <w:rsid w:val="00153869"/>
    <w:rsid w:val="00161A3C"/>
    <w:rsid w:val="00163A33"/>
    <w:rsid w:val="00163FC1"/>
    <w:rsid w:val="00184D99"/>
    <w:rsid w:val="001851F0"/>
    <w:rsid w:val="001903C8"/>
    <w:rsid w:val="00190823"/>
    <w:rsid w:val="001D485D"/>
    <w:rsid w:val="001E7362"/>
    <w:rsid w:val="002060C8"/>
    <w:rsid w:val="002116E2"/>
    <w:rsid w:val="00211BEA"/>
    <w:rsid w:val="00221854"/>
    <w:rsid w:val="002243AD"/>
    <w:rsid w:val="00267538"/>
    <w:rsid w:val="00271232"/>
    <w:rsid w:val="002865BF"/>
    <w:rsid w:val="002A23E5"/>
    <w:rsid w:val="00306E29"/>
    <w:rsid w:val="00356EC6"/>
    <w:rsid w:val="003953F3"/>
    <w:rsid w:val="003A0391"/>
    <w:rsid w:val="003B7D8B"/>
    <w:rsid w:val="003C0E7E"/>
    <w:rsid w:val="003D4860"/>
    <w:rsid w:val="003E2183"/>
    <w:rsid w:val="0040231D"/>
    <w:rsid w:val="00405D4A"/>
    <w:rsid w:val="00412889"/>
    <w:rsid w:val="0042636B"/>
    <w:rsid w:val="00437354"/>
    <w:rsid w:val="0047706B"/>
    <w:rsid w:val="00477E1E"/>
    <w:rsid w:val="0048475B"/>
    <w:rsid w:val="004969C8"/>
    <w:rsid w:val="004B3086"/>
    <w:rsid w:val="004B36FD"/>
    <w:rsid w:val="004B785F"/>
    <w:rsid w:val="004D5B14"/>
    <w:rsid w:val="00521C34"/>
    <w:rsid w:val="005300CF"/>
    <w:rsid w:val="00532382"/>
    <w:rsid w:val="00536F79"/>
    <w:rsid w:val="00540162"/>
    <w:rsid w:val="00541625"/>
    <w:rsid w:val="005430DA"/>
    <w:rsid w:val="005441E8"/>
    <w:rsid w:val="00553EF3"/>
    <w:rsid w:val="0057387D"/>
    <w:rsid w:val="00574315"/>
    <w:rsid w:val="0057589E"/>
    <w:rsid w:val="00587F43"/>
    <w:rsid w:val="00593DFF"/>
    <w:rsid w:val="005A4F30"/>
    <w:rsid w:val="006136BE"/>
    <w:rsid w:val="006158AE"/>
    <w:rsid w:val="0062685A"/>
    <w:rsid w:val="006627F6"/>
    <w:rsid w:val="0066407A"/>
    <w:rsid w:val="00672CA1"/>
    <w:rsid w:val="0069219E"/>
    <w:rsid w:val="006A036C"/>
    <w:rsid w:val="006B77D8"/>
    <w:rsid w:val="006C73EF"/>
    <w:rsid w:val="006F47AC"/>
    <w:rsid w:val="006F7145"/>
    <w:rsid w:val="00702BAA"/>
    <w:rsid w:val="007043D9"/>
    <w:rsid w:val="0074590D"/>
    <w:rsid w:val="00751787"/>
    <w:rsid w:val="007545BB"/>
    <w:rsid w:val="0076154E"/>
    <w:rsid w:val="00773BB9"/>
    <w:rsid w:val="0078268E"/>
    <w:rsid w:val="007C677C"/>
    <w:rsid w:val="007D25DA"/>
    <w:rsid w:val="008077AF"/>
    <w:rsid w:val="00807D19"/>
    <w:rsid w:val="0084284F"/>
    <w:rsid w:val="0086340A"/>
    <w:rsid w:val="0088493F"/>
    <w:rsid w:val="00885DEE"/>
    <w:rsid w:val="008A20D3"/>
    <w:rsid w:val="008C5776"/>
    <w:rsid w:val="008F3151"/>
    <w:rsid w:val="00911A20"/>
    <w:rsid w:val="0091226E"/>
    <w:rsid w:val="00924896"/>
    <w:rsid w:val="009328B3"/>
    <w:rsid w:val="00934D28"/>
    <w:rsid w:val="00943A97"/>
    <w:rsid w:val="00973213"/>
    <w:rsid w:val="0098599E"/>
    <w:rsid w:val="00987C3E"/>
    <w:rsid w:val="009D3521"/>
    <w:rsid w:val="00A00C8E"/>
    <w:rsid w:val="00A50DD1"/>
    <w:rsid w:val="00A64E6A"/>
    <w:rsid w:val="00AA49B5"/>
    <w:rsid w:val="00AE29FC"/>
    <w:rsid w:val="00AF3246"/>
    <w:rsid w:val="00B04CA4"/>
    <w:rsid w:val="00B130DF"/>
    <w:rsid w:val="00B550CD"/>
    <w:rsid w:val="00B64039"/>
    <w:rsid w:val="00B70A2D"/>
    <w:rsid w:val="00B71D45"/>
    <w:rsid w:val="00B92E63"/>
    <w:rsid w:val="00BA25AB"/>
    <w:rsid w:val="00BB558B"/>
    <w:rsid w:val="00BC36D5"/>
    <w:rsid w:val="00BC4916"/>
    <w:rsid w:val="00C03552"/>
    <w:rsid w:val="00C17A2F"/>
    <w:rsid w:val="00C21EFC"/>
    <w:rsid w:val="00C3080D"/>
    <w:rsid w:val="00C417DD"/>
    <w:rsid w:val="00C6688D"/>
    <w:rsid w:val="00C85A51"/>
    <w:rsid w:val="00CA2D54"/>
    <w:rsid w:val="00CA5DD1"/>
    <w:rsid w:val="00CD2674"/>
    <w:rsid w:val="00CD647D"/>
    <w:rsid w:val="00CF6B18"/>
    <w:rsid w:val="00D0154E"/>
    <w:rsid w:val="00D05751"/>
    <w:rsid w:val="00D1411D"/>
    <w:rsid w:val="00D14668"/>
    <w:rsid w:val="00D17171"/>
    <w:rsid w:val="00D34CED"/>
    <w:rsid w:val="00D47120"/>
    <w:rsid w:val="00D766EF"/>
    <w:rsid w:val="00D90F29"/>
    <w:rsid w:val="00D95DE5"/>
    <w:rsid w:val="00D969DF"/>
    <w:rsid w:val="00DA6E66"/>
    <w:rsid w:val="00DB6E74"/>
    <w:rsid w:val="00DE18E9"/>
    <w:rsid w:val="00DF2A7F"/>
    <w:rsid w:val="00DF55EC"/>
    <w:rsid w:val="00E260F4"/>
    <w:rsid w:val="00E376E9"/>
    <w:rsid w:val="00E450BB"/>
    <w:rsid w:val="00E944FD"/>
    <w:rsid w:val="00ED124B"/>
    <w:rsid w:val="00EE16AF"/>
    <w:rsid w:val="00EE3281"/>
    <w:rsid w:val="00F13BAE"/>
    <w:rsid w:val="00F20C2C"/>
    <w:rsid w:val="00F21FA1"/>
    <w:rsid w:val="00F267B5"/>
    <w:rsid w:val="00F33E82"/>
    <w:rsid w:val="00F35F6F"/>
    <w:rsid w:val="00F47931"/>
    <w:rsid w:val="00F5176E"/>
    <w:rsid w:val="00F54C87"/>
    <w:rsid w:val="00F6209E"/>
    <w:rsid w:val="00F6490F"/>
    <w:rsid w:val="00F72D0F"/>
    <w:rsid w:val="00F75FA0"/>
    <w:rsid w:val="00F86B09"/>
    <w:rsid w:val="00F87119"/>
    <w:rsid w:val="00F977D8"/>
    <w:rsid w:val="00FA057F"/>
    <w:rsid w:val="00FC185A"/>
    <w:rsid w:val="00FD0C69"/>
    <w:rsid w:val="00FD5280"/>
    <w:rsid w:val="00FE411A"/>
    <w:rsid w:val="00FF5BE7"/>
    <w:rsid w:val="00FF6F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1F0"/>
    <w:rPr>
      <w:sz w:val="24"/>
    </w:rPr>
  </w:style>
  <w:style w:type="paragraph" w:styleId="Heading1">
    <w:name w:val="heading 1"/>
    <w:basedOn w:val="Normal"/>
    <w:next w:val="Normal"/>
    <w:qFormat/>
    <w:rsid w:val="001851F0"/>
    <w:pPr>
      <w:keepNext/>
      <w:outlineLvl w:val="0"/>
    </w:pPr>
    <w:rPr>
      <w:rFonts w:ascii="Verdana" w:hAnsi="Verdana"/>
      <w:b/>
      <w:sz w:val="36"/>
    </w:rPr>
  </w:style>
  <w:style w:type="paragraph" w:styleId="Heading2">
    <w:name w:val="heading 2"/>
    <w:basedOn w:val="Normal"/>
    <w:next w:val="Normal"/>
    <w:qFormat/>
    <w:rsid w:val="001851F0"/>
    <w:pPr>
      <w:keepNext/>
      <w:outlineLvl w:val="1"/>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1851F0"/>
    <w:rPr>
      <w:color w:val="0000FF"/>
      <w:u w:val="single"/>
    </w:rPr>
  </w:style>
  <w:style w:type="character" w:styleId="FollowedHyperlink">
    <w:name w:val="FollowedHyperlink"/>
    <w:basedOn w:val="DefaultParagraphFont"/>
    <w:semiHidden/>
    <w:rsid w:val="001851F0"/>
    <w:rPr>
      <w:color w:val="800080"/>
      <w:u w:val="single"/>
    </w:rPr>
  </w:style>
  <w:style w:type="paragraph" w:styleId="BalloonText">
    <w:name w:val="Balloon Text"/>
    <w:basedOn w:val="Normal"/>
    <w:link w:val="BalloonTextChar"/>
    <w:uiPriority w:val="99"/>
    <w:semiHidden/>
    <w:unhideWhenUsed/>
    <w:rsid w:val="00FF6FF2"/>
    <w:rPr>
      <w:rFonts w:ascii="Tahoma" w:hAnsi="Tahoma" w:cs="Tahoma"/>
      <w:sz w:val="16"/>
      <w:szCs w:val="16"/>
    </w:rPr>
  </w:style>
  <w:style w:type="character" w:customStyle="1" w:styleId="BalloonTextChar">
    <w:name w:val="Balloon Text Char"/>
    <w:basedOn w:val="DefaultParagraphFont"/>
    <w:link w:val="BalloonText"/>
    <w:uiPriority w:val="99"/>
    <w:semiHidden/>
    <w:rsid w:val="00FF6FF2"/>
    <w:rPr>
      <w:rFonts w:ascii="Tahoma" w:hAnsi="Tahoma" w:cs="Tahoma"/>
      <w:sz w:val="16"/>
      <w:szCs w:val="16"/>
    </w:rPr>
  </w:style>
  <w:style w:type="paragraph" w:styleId="ListParagraph">
    <w:name w:val="List Paragraph"/>
    <w:basedOn w:val="Normal"/>
    <w:uiPriority w:val="34"/>
    <w:qFormat/>
    <w:rsid w:val="0066407A"/>
    <w:pPr>
      <w:ind w:left="720"/>
      <w:contextualSpacing/>
    </w:pPr>
    <w:rPr>
      <w:rFonts w:ascii="Arial" w:hAnsi="Arial"/>
      <w:szCs w:val="24"/>
    </w:rPr>
  </w:style>
  <w:style w:type="character" w:styleId="CommentReference">
    <w:name w:val="annotation reference"/>
    <w:basedOn w:val="DefaultParagraphFont"/>
    <w:uiPriority w:val="99"/>
    <w:semiHidden/>
    <w:unhideWhenUsed/>
    <w:rsid w:val="00FD5280"/>
    <w:rPr>
      <w:sz w:val="16"/>
      <w:szCs w:val="16"/>
    </w:rPr>
  </w:style>
  <w:style w:type="paragraph" w:styleId="CommentText">
    <w:name w:val="annotation text"/>
    <w:basedOn w:val="Normal"/>
    <w:link w:val="CommentTextChar"/>
    <w:uiPriority w:val="99"/>
    <w:semiHidden/>
    <w:unhideWhenUsed/>
    <w:rsid w:val="00FD5280"/>
    <w:rPr>
      <w:sz w:val="20"/>
    </w:rPr>
  </w:style>
  <w:style w:type="character" w:customStyle="1" w:styleId="CommentTextChar">
    <w:name w:val="Comment Text Char"/>
    <w:basedOn w:val="DefaultParagraphFont"/>
    <w:link w:val="CommentText"/>
    <w:uiPriority w:val="99"/>
    <w:semiHidden/>
    <w:rsid w:val="00FD5280"/>
  </w:style>
  <w:style w:type="paragraph" w:styleId="CommentSubject">
    <w:name w:val="annotation subject"/>
    <w:basedOn w:val="CommentText"/>
    <w:next w:val="CommentText"/>
    <w:link w:val="CommentSubjectChar"/>
    <w:uiPriority w:val="99"/>
    <w:semiHidden/>
    <w:unhideWhenUsed/>
    <w:rsid w:val="00FD5280"/>
    <w:rPr>
      <w:b/>
      <w:bCs/>
    </w:rPr>
  </w:style>
  <w:style w:type="character" w:customStyle="1" w:styleId="CommentSubjectChar">
    <w:name w:val="Comment Subject Char"/>
    <w:basedOn w:val="CommentTextChar"/>
    <w:link w:val="CommentSubject"/>
    <w:uiPriority w:val="99"/>
    <w:semiHidden/>
    <w:rsid w:val="00FD5280"/>
    <w:rPr>
      <w:b/>
      <w:bCs/>
    </w:rPr>
  </w:style>
  <w:style w:type="paragraph" w:styleId="Header">
    <w:name w:val="header"/>
    <w:basedOn w:val="Normal"/>
    <w:link w:val="HeaderChar"/>
    <w:uiPriority w:val="99"/>
    <w:semiHidden/>
    <w:unhideWhenUsed/>
    <w:rsid w:val="00F35F6F"/>
    <w:pPr>
      <w:tabs>
        <w:tab w:val="center" w:pos="4680"/>
        <w:tab w:val="right" w:pos="9360"/>
      </w:tabs>
    </w:pPr>
  </w:style>
  <w:style w:type="character" w:customStyle="1" w:styleId="HeaderChar">
    <w:name w:val="Header Char"/>
    <w:basedOn w:val="DefaultParagraphFont"/>
    <w:link w:val="Header"/>
    <w:uiPriority w:val="99"/>
    <w:semiHidden/>
    <w:rsid w:val="00F35F6F"/>
    <w:rPr>
      <w:sz w:val="24"/>
    </w:rPr>
  </w:style>
  <w:style w:type="paragraph" w:styleId="Footer">
    <w:name w:val="footer"/>
    <w:basedOn w:val="Normal"/>
    <w:link w:val="FooterChar"/>
    <w:uiPriority w:val="99"/>
    <w:semiHidden/>
    <w:unhideWhenUsed/>
    <w:rsid w:val="00F35F6F"/>
    <w:pPr>
      <w:tabs>
        <w:tab w:val="center" w:pos="4680"/>
        <w:tab w:val="right" w:pos="9360"/>
      </w:tabs>
    </w:pPr>
  </w:style>
  <w:style w:type="character" w:customStyle="1" w:styleId="FooterChar">
    <w:name w:val="Footer Char"/>
    <w:basedOn w:val="DefaultParagraphFont"/>
    <w:link w:val="Footer"/>
    <w:uiPriority w:val="99"/>
    <w:semiHidden/>
    <w:rsid w:val="00F35F6F"/>
    <w:rPr>
      <w:sz w:val="24"/>
    </w:rPr>
  </w:style>
</w:styles>
</file>

<file path=word/webSettings.xml><?xml version="1.0" encoding="utf-8"?>
<w:webSettings xmlns:r="http://schemas.openxmlformats.org/officeDocument/2006/relationships" xmlns:w="http://schemas.openxmlformats.org/wordprocessingml/2006/main">
  <w:divs>
    <w:div w:id="2246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MSOffice\Templates\NWCouncil\RTFlt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RTFltrhead.dotx</Template>
  <TotalTime>9</TotalTime>
  <Pages>3</Pages>
  <Words>1055</Words>
  <Characters>5679</Characters>
  <Application>Microsoft Office Word</Application>
  <DocSecurity>0</DocSecurity>
  <Lines>118</Lines>
  <Paragraphs>34</Paragraphs>
  <ScaleCrop>false</ScaleCrop>
  <HeadingPairs>
    <vt:vector size="2" baseType="variant">
      <vt:variant>
        <vt:lpstr>Title</vt:lpstr>
      </vt:variant>
      <vt:variant>
        <vt:i4>1</vt:i4>
      </vt:variant>
    </vt:vector>
  </HeadingPairs>
  <TitlesOfParts>
    <vt:vector size="1" baseType="lpstr">
      <vt:lpstr>RTF Letterhead Memo Template</vt:lpstr>
    </vt:vector>
  </TitlesOfParts>
  <Company>The NW Power Planning Council</Company>
  <LinksUpToDate>false</LinksUpToDate>
  <CharactersWithSpaces>6700</CharactersWithSpaces>
  <SharedDoc>false</SharedDoc>
  <HLinks>
    <vt:vector size="6" baseType="variant">
      <vt:variant>
        <vt:i4>7602257</vt:i4>
      </vt:variant>
      <vt:variant>
        <vt:i4>1024</vt:i4>
      </vt:variant>
      <vt:variant>
        <vt:i4>1025</vt:i4>
      </vt:variant>
      <vt:variant>
        <vt:i4>1</vt:i4>
      </vt:variant>
      <vt:variant>
        <vt:lpwstr>My Webs\nwcouncil\energy\rtf\logo_med.gif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Letterhead Memo Template</dc:title>
  <dc:creator>Jennifer Anziano</dc:creator>
  <cp:lastModifiedBy>Aggar Assefa</cp:lastModifiedBy>
  <cp:revision>9</cp:revision>
  <cp:lastPrinted>2014-11-03T20:40:00Z</cp:lastPrinted>
  <dcterms:created xsi:type="dcterms:W3CDTF">2014-11-19T21:41:00Z</dcterms:created>
  <dcterms:modified xsi:type="dcterms:W3CDTF">2014-11-19T21:58:00Z</dcterms:modified>
</cp:coreProperties>
</file>