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3254"/>
        <w:gridCol w:w="3355"/>
        <w:gridCol w:w="3004"/>
      </w:tblGrid>
      <w:tr w:rsidR="0092505F">
        <w:trPr>
          <w:trHeight w:hRule="exact" w:val="2075"/>
        </w:trPr>
        <w:tc>
          <w:tcPr>
            <w:tcW w:w="3254" w:type="dxa"/>
            <w:tcBorders>
              <w:top w:val="none" w:sz="0" w:space="0" w:color="000000"/>
              <w:left w:val="none" w:sz="0" w:space="0" w:color="000000"/>
              <w:bottom w:val="none" w:sz="0" w:space="0" w:color="000000"/>
              <w:right w:val="none" w:sz="0" w:space="0" w:color="000000"/>
            </w:tcBorders>
          </w:tcPr>
          <w:p w:rsidR="0092505F" w:rsidRDefault="00774ED1">
            <w:pPr>
              <w:spacing w:before="72" w:line="165" w:lineRule="exact"/>
              <w:ind w:left="720" w:right="1836" w:hanging="216"/>
              <w:textAlignment w:val="baseline"/>
              <w:rPr>
                <w:rFonts w:ascii="Garamond" w:eastAsia="Garamond" w:hAnsi="Garamond"/>
                <w:color w:val="000000"/>
                <w:sz w:val="17"/>
              </w:rPr>
            </w:pPr>
            <w:r>
              <w:rPr>
                <w:rFonts w:ascii="Garamond" w:eastAsia="Garamond" w:hAnsi="Garamond"/>
                <w:color w:val="000000"/>
                <w:sz w:val="17"/>
              </w:rPr>
              <w:t>Bill Bradbury Chair Oregon</w:t>
            </w:r>
          </w:p>
          <w:p w:rsidR="0092505F" w:rsidRDefault="00774ED1">
            <w:pPr>
              <w:spacing w:before="169" w:line="163" w:lineRule="exact"/>
              <w:ind w:left="720" w:right="1728" w:hanging="360"/>
              <w:textAlignment w:val="baseline"/>
              <w:rPr>
                <w:rFonts w:ascii="Garamond" w:eastAsia="Garamond" w:hAnsi="Garamond"/>
                <w:b/>
                <w:color w:val="000000"/>
                <w:spacing w:val="-2"/>
                <w:sz w:val="17"/>
              </w:rPr>
            </w:pPr>
            <w:r>
              <w:rPr>
                <w:rFonts w:ascii="Garamond" w:eastAsia="Garamond" w:hAnsi="Garamond"/>
                <w:b/>
                <w:color w:val="000000"/>
                <w:spacing w:val="-2"/>
                <w:sz w:val="17"/>
              </w:rPr>
              <w:t xml:space="preserve">Henry Lorenzen </w:t>
            </w:r>
            <w:r>
              <w:rPr>
                <w:rFonts w:ascii="Garamond" w:eastAsia="Garamond" w:hAnsi="Garamond"/>
                <w:color w:val="000000"/>
                <w:spacing w:val="-2"/>
                <w:sz w:val="17"/>
              </w:rPr>
              <w:t>Oregon</w:t>
            </w:r>
          </w:p>
          <w:p w:rsidR="0092505F" w:rsidRDefault="00774ED1">
            <w:pPr>
              <w:spacing w:before="158" w:line="168" w:lineRule="exact"/>
              <w:ind w:left="720" w:right="1836" w:hanging="216"/>
              <w:textAlignment w:val="baseline"/>
              <w:rPr>
                <w:rFonts w:ascii="Garamond" w:eastAsia="Garamond" w:hAnsi="Garamond"/>
                <w:b/>
                <w:color w:val="000000"/>
                <w:spacing w:val="-2"/>
                <w:sz w:val="17"/>
              </w:rPr>
            </w:pPr>
            <w:r>
              <w:rPr>
                <w:rFonts w:ascii="Garamond" w:eastAsia="Garamond" w:hAnsi="Garamond"/>
                <w:b/>
                <w:color w:val="000000"/>
                <w:spacing w:val="-2"/>
                <w:sz w:val="17"/>
              </w:rPr>
              <w:t xml:space="preserve">W. </w:t>
            </w:r>
            <w:r>
              <w:rPr>
                <w:rFonts w:ascii="Garamond" w:eastAsia="Garamond" w:hAnsi="Garamond"/>
                <w:color w:val="000000"/>
                <w:spacing w:val="-2"/>
                <w:sz w:val="17"/>
              </w:rPr>
              <w:t>Bill Booth Idaho</w:t>
            </w:r>
          </w:p>
          <w:p w:rsidR="0092505F" w:rsidRDefault="00774ED1">
            <w:pPr>
              <w:spacing w:before="159" w:after="13" w:line="168" w:lineRule="exact"/>
              <w:ind w:left="720" w:right="1836" w:hanging="216"/>
              <w:textAlignment w:val="baseline"/>
              <w:rPr>
                <w:rFonts w:ascii="Garamond" w:eastAsia="Garamond" w:hAnsi="Garamond"/>
                <w:color w:val="000000"/>
                <w:spacing w:val="-5"/>
                <w:sz w:val="17"/>
              </w:rPr>
            </w:pPr>
            <w:r>
              <w:rPr>
                <w:rFonts w:ascii="Garamond" w:eastAsia="Garamond" w:hAnsi="Garamond"/>
                <w:color w:val="000000"/>
                <w:spacing w:val="-5"/>
                <w:sz w:val="17"/>
              </w:rPr>
              <w:t xml:space="preserve">James </w:t>
            </w:r>
            <w:r>
              <w:rPr>
                <w:rFonts w:ascii="Garamond" w:eastAsia="Garamond" w:hAnsi="Garamond"/>
                <w:b/>
                <w:color w:val="000000"/>
                <w:spacing w:val="-5"/>
                <w:sz w:val="17"/>
              </w:rPr>
              <w:t xml:space="preserve">A. Yost </w:t>
            </w:r>
            <w:r>
              <w:rPr>
                <w:rFonts w:ascii="Garamond" w:eastAsia="Garamond" w:hAnsi="Garamond"/>
                <w:color w:val="000000"/>
                <w:spacing w:val="-5"/>
                <w:sz w:val="17"/>
              </w:rPr>
              <w:t>Idaho</w:t>
            </w:r>
          </w:p>
        </w:tc>
        <w:tc>
          <w:tcPr>
            <w:tcW w:w="3355" w:type="dxa"/>
            <w:tcBorders>
              <w:top w:val="none" w:sz="0" w:space="0" w:color="000000"/>
              <w:left w:val="none" w:sz="0" w:space="0" w:color="000000"/>
              <w:bottom w:val="none" w:sz="0" w:space="0" w:color="000000"/>
              <w:right w:val="none" w:sz="0" w:space="0" w:color="000000"/>
            </w:tcBorders>
          </w:tcPr>
          <w:p w:rsidR="0092505F" w:rsidRDefault="00774ED1">
            <w:pPr>
              <w:spacing w:before="15" w:after="186"/>
              <w:jc w:val="center"/>
              <w:textAlignment w:val="baseline"/>
            </w:pPr>
            <w:r>
              <w:rPr>
                <w:noProof/>
              </w:rPr>
              <w:drawing>
                <wp:inline distT="0" distB="0" distL="0" distR="0">
                  <wp:extent cx="2130425" cy="11188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2130425" cy="1118870"/>
                          </a:xfrm>
                          <a:prstGeom prst="rect">
                            <a:avLst/>
                          </a:prstGeom>
                        </pic:spPr>
                      </pic:pic>
                    </a:graphicData>
                  </a:graphic>
                </wp:inline>
              </w:drawing>
            </w:r>
          </w:p>
        </w:tc>
        <w:tc>
          <w:tcPr>
            <w:tcW w:w="3004" w:type="dxa"/>
            <w:tcBorders>
              <w:top w:val="none" w:sz="0" w:space="0" w:color="000000"/>
              <w:left w:val="none" w:sz="0" w:space="0" w:color="000000"/>
              <w:bottom w:val="none" w:sz="0" w:space="0" w:color="000000"/>
              <w:right w:val="none" w:sz="0" w:space="0" w:color="000000"/>
            </w:tcBorders>
          </w:tcPr>
          <w:p w:rsidR="0092505F" w:rsidRDefault="00774ED1">
            <w:pPr>
              <w:spacing w:before="72" w:line="165" w:lineRule="exact"/>
              <w:ind w:left="2088" w:hanging="288"/>
              <w:textAlignment w:val="baseline"/>
              <w:rPr>
                <w:rFonts w:ascii="Garamond" w:eastAsia="Garamond" w:hAnsi="Garamond"/>
                <w:b/>
                <w:color w:val="000000"/>
                <w:sz w:val="17"/>
              </w:rPr>
            </w:pPr>
            <w:r>
              <w:rPr>
                <w:rFonts w:ascii="Garamond" w:eastAsia="Garamond" w:hAnsi="Garamond"/>
                <w:b/>
                <w:color w:val="000000"/>
                <w:sz w:val="17"/>
              </w:rPr>
              <w:t xml:space="preserve">Jennifer Anders Vice Chair </w:t>
            </w:r>
            <w:r>
              <w:rPr>
                <w:rFonts w:ascii="Garamond" w:eastAsia="Garamond" w:hAnsi="Garamond"/>
                <w:color w:val="000000"/>
                <w:sz w:val="17"/>
              </w:rPr>
              <w:t>Montana</w:t>
            </w:r>
          </w:p>
          <w:p w:rsidR="0092505F" w:rsidRDefault="00774ED1">
            <w:pPr>
              <w:spacing w:before="164" w:line="163" w:lineRule="exact"/>
              <w:ind w:left="2088"/>
              <w:textAlignment w:val="baseline"/>
              <w:rPr>
                <w:rFonts w:ascii="Garamond" w:eastAsia="Garamond" w:hAnsi="Garamond"/>
                <w:color w:val="000000"/>
                <w:sz w:val="17"/>
              </w:rPr>
            </w:pPr>
            <w:r>
              <w:rPr>
                <w:rFonts w:ascii="Garamond" w:eastAsia="Garamond" w:hAnsi="Garamond"/>
                <w:color w:val="000000"/>
                <w:sz w:val="17"/>
              </w:rPr>
              <w:t>Pat Smith Montana</w:t>
            </w:r>
          </w:p>
          <w:p w:rsidR="0092505F" w:rsidRDefault="00774ED1">
            <w:pPr>
              <w:spacing w:before="163" w:line="168" w:lineRule="exact"/>
              <w:ind w:left="2016"/>
              <w:textAlignment w:val="baseline"/>
              <w:rPr>
                <w:rFonts w:ascii="Garamond" w:eastAsia="Garamond" w:hAnsi="Garamond"/>
                <w:color w:val="000000"/>
                <w:sz w:val="17"/>
              </w:rPr>
            </w:pPr>
            <w:r>
              <w:rPr>
                <w:rFonts w:ascii="Garamond" w:eastAsia="Garamond" w:hAnsi="Garamond"/>
                <w:color w:val="000000"/>
                <w:sz w:val="17"/>
              </w:rPr>
              <w:t>Tom Karier Washington</w:t>
            </w:r>
          </w:p>
          <w:p w:rsidR="0092505F" w:rsidRDefault="00774ED1">
            <w:pPr>
              <w:spacing w:before="159" w:after="13" w:line="168" w:lineRule="exact"/>
              <w:ind w:left="2016" w:hanging="216"/>
              <w:textAlignment w:val="baseline"/>
              <w:rPr>
                <w:rFonts w:ascii="Garamond" w:eastAsia="Garamond" w:hAnsi="Garamond"/>
                <w:b/>
                <w:color w:val="000000"/>
                <w:sz w:val="17"/>
              </w:rPr>
            </w:pPr>
            <w:r>
              <w:rPr>
                <w:rFonts w:ascii="Garamond" w:eastAsia="Garamond" w:hAnsi="Garamond"/>
                <w:b/>
                <w:color w:val="000000"/>
                <w:sz w:val="17"/>
              </w:rPr>
              <w:t xml:space="preserve">Phil Rockefeller </w:t>
            </w:r>
            <w:r>
              <w:rPr>
                <w:rFonts w:ascii="Garamond" w:eastAsia="Garamond" w:hAnsi="Garamond"/>
                <w:color w:val="000000"/>
                <w:sz w:val="17"/>
              </w:rPr>
              <w:t>Washington</w:t>
            </w:r>
          </w:p>
        </w:tc>
      </w:tr>
    </w:tbl>
    <w:p w:rsidR="0092505F" w:rsidRDefault="0092505F">
      <w:pPr>
        <w:spacing w:after="124" w:line="20" w:lineRule="exact"/>
      </w:pPr>
    </w:p>
    <w:p w:rsidR="00661D9A" w:rsidRDefault="00774ED1">
      <w:pPr>
        <w:spacing w:before="5" w:line="413" w:lineRule="exact"/>
        <w:jc w:val="center"/>
        <w:textAlignment w:val="baseline"/>
        <w:rPr>
          <w:rFonts w:eastAsia="Times New Roman"/>
          <w:b/>
          <w:color w:val="000000"/>
          <w:sz w:val="36"/>
        </w:rPr>
      </w:pPr>
      <w:r>
        <w:rPr>
          <w:rFonts w:eastAsia="Times New Roman"/>
          <w:b/>
          <w:color w:val="000000"/>
          <w:sz w:val="36"/>
        </w:rPr>
        <w:t xml:space="preserve">Wildlife Advisory Committee </w:t>
      </w:r>
    </w:p>
    <w:p w:rsidR="0092505F" w:rsidRDefault="00080E16">
      <w:pPr>
        <w:spacing w:before="5" w:line="413" w:lineRule="exact"/>
        <w:jc w:val="center"/>
        <w:textAlignment w:val="baseline"/>
        <w:rPr>
          <w:rFonts w:eastAsia="Times New Roman"/>
          <w:b/>
          <w:color w:val="000000"/>
          <w:sz w:val="36"/>
        </w:rPr>
      </w:pPr>
      <w:r>
        <w:rPr>
          <w:rFonts w:eastAsia="Times New Roman"/>
          <w:b/>
          <w:color w:val="000000"/>
          <w:sz w:val="36"/>
        </w:rPr>
        <w:t xml:space="preserve"> HEP </w:t>
      </w:r>
      <w:r w:rsidR="00317892">
        <w:rPr>
          <w:rFonts w:eastAsia="Times New Roman"/>
          <w:b/>
          <w:color w:val="000000"/>
          <w:sz w:val="36"/>
        </w:rPr>
        <w:t>Subcommittee</w:t>
      </w:r>
      <w:r w:rsidR="00317892">
        <w:rPr>
          <w:rFonts w:eastAsia="Times New Roman"/>
          <w:b/>
          <w:color w:val="000000"/>
          <w:sz w:val="36"/>
        </w:rPr>
        <w:br/>
        <w:t>EWU Health</w:t>
      </w:r>
      <w:r w:rsidR="00661D9A">
        <w:rPr>
          <w:rFonts w:eastAsia="Times New Roman"/>
          <w:b/>
          <w:color w:val="000000"/>
          <w:sz w:val="36"/>
        </w:rPr>
        <w:t xml:space="preserve"> Sciences Building</w:t>
      </w:r>
      <w:r w:rsidR="00317892">
        <w:rPr>
          <w:rFonts w:eastAsia="Times New Roman"/>
          <w:b/>
          <w:color w:val="000000"/>
          <w:sz w:val="36"/>
        </w:rPr>
        <w:t xml:space="preserve"> Rm. 110D</w:t>
      </w:r>
      <w:r w:rsidR="00774ED1">
        <w:rPr>
          <w:rFonts w:eastAsia="Times New Roman"/>
          <w:b/>
          <w:color w:val="000000"/>
          <w:sz w:val="36"/>
        </w:rPr>
        <w:t xml:space="preserve"> </w:t>
      </w:r>
      <w:r w:rsidR="00774ED1">
        <w:rPr>
          <w:rFonts w:eastAsia="Times New Roman"/>
          <w:b/>
          <w:color w:val="000000"/>
          <w:sz w:val="36"/>
        </w:rPr>
        <w:br/>
        <w:t xml:space="preserve"> </w:t>
      </w:r>
      <w:r w:rsidR="00317892">
        <w:rPr>
          <w:rFonts w:eastAsia="Times New Roman"/>
          <w:b/>
          <w:color w:val="000000"/>
          <w:sz w:val="36"/>
        </w:rPr>
        <w:t>N 501 Riv</w:t>
      </w:r>
      <w:r>
        <w:rPr>
          <w:rFonts w:eastAsia="Times New Roman"/>
          <w:b/>
          <w:color w:val="000000"/>
          <w:sz w:val="36"/>
        </w:rPr>
        <w:t>erpoint Blvd</w:t>
      </w:r>
      <w:proofErr w:type="gramStart"/>
      <w:r>
        <w:rPr>
          <w:rFonts w:eastAsia="Times New Roman"/>
          <w:b/>
          <w:color w:val="000000"/>
          <w:sz w:val="36"/>
        </w:rPr>
        <w:t>.</w:t>
      </w:r>
      <w:proofErr w:type="gramEnd"/>
      <w:r>
        <w:rPr>
          <w:rFonts w:eastAsia="Times New Roman"/>
          <w:b/>
          <w:color w:val="000000"/>
          <w:sz w:val="36"/>
        </w:rPr>
        <w:br/>
        <w:t>Spokane, WA</w:t>
      </w:r>
      <w:r>
        <w:rPr>
          <w:rFonts w:eastAsia="Times New Roman"/>
          <w:b/>
          <w:color w:val="000000"/>
          <w:sz w:val="36"/>
        </w:rPr>
        <w:br/>
        <w:t>May 28th</w:t>
      </w:r>
      <w:r w:rsidR="00774ED1">
        <w:rPr>
          <w:rFonts w:eastAsia="Times New Roman"/>
          <w:b/>
          <w:color w:val="000000"/>
          <w:sz w:val="36"/>
        </w:rPr>
        <w:t>, 2014</w:t>
      </w:r>
    </w:p>
    <w:p w:rsidR="0092505F" w:rsidRDefault="00080E16">
      <w:pPr>
        <w:spacing w:before="18" w:line="413" w:lineRule="exact"/>
        <w:jc w:val="center"/>
        <w:textAlignment w:val="baseline"/>
        <w:rPr>
          <w:rFonts w:eastAsia="Times New Roman"/>
          <w:b/>
          <w:color w:val="000000"/>
          <w:spacing w:val="2"/>
          <w:sz w:val="36"/>
        </w:rPr>
      </w:pPr>
      <w:r>
        <w:rPr>
          <w:rFonts w:eastAsia="Times New Roman"/>
          <w:b/>
          <w:color w:val="000000"/>
          <w:spacing w:val="2"/>
          <w:sz w:val="36"/>
        </w:rPr>
        <w:t>1:00 p</w:t>
      </w:r>
      <w:r w:rsidR="00774ED1">
        <w:rPr>
          <w:rFonts w:eastAsia="Times New Roman"/>
          <w:b/>
          <w:color w:val="000000"/>
          <w:spacing w:val="2"/>
          <w:sz w:val="36"/>
        </w:rPr>
        <w:t xml:space="preserve">.m. </w:t>
      </w:r>
      <w:r w:rsidR="00774ED1">
        <w:rPr>
          <w:rFonts w:eastAsia="Times New Roman"/>
          <w:color w:val="000000"/>
          <w:spacing w:val="2"/>
          <w:w w:val="55"/>
          <w:sz w:val="43"/>
        </w:rPr>
        <w:t xml:space="preserve">– </w:t>
      </w:r>
      <w:r>
        <w:rPr>
          <w:rFonts w:eastAsia="Times New Roman"/>
          <w:b/>
          <w:color w:val="000000"/>
          <w:spacing w:val="2"/>
          <w:sz w:val="36"/>
        </w:rPr>
        <w:t>4:30 p</w:t>
      </w:r>
      <w:r w:rsidR="00774ED1">
        <w:rPr>
          <w:rFonts w:eastAsia="Times New Roman"/>
          <w:b/>
          <w:color w:val="000000"/>
          <w:spacing w:val="2"/>
          <w:sz w:val="36"/>
        </w:rPr>
        <w:t>.m.</w:t>
      </w:r>
    </w:p>
    <w:p w:rsidR="0092505F" w:rsidRDefault="00774ED1">
      <w:pPr>
        <w:spacing w:before="394" w:line="321" w:lineRule="exact"/>
        <w:jc w:val="center"/>
        <w:textAlignment w:val="baseline"/>
        <w:rPr>
          <w:rFonts w:eastAsia="Times New Roman"/>
          <w:b/>
          <w:color w:val="000000"/>
          <w:spacing w:val="-1"/>
          <w:sz w:val="28"/>
        </w:rPr>
      </w:pPr>
      <w:r>
        <w:rPr>
          <w:rFonts w:eastAsia="Times New Roman"/>
          <w:b/>
          <w:color w:val="000000"/>
          <w:spacing w:val="-1"/>
          <w:sz w:val="28"/>
        </w:rPr>
        <w:t>1. Remote Access</w:t>
      </w:r>
    </w:p>
    <w:p w:rsidR="00080E16" w:rsidRPr="00080E16" w:rsidRDefault="00080E16" w:rsidP="00080E16">
      <w:pPr>
        <w:tabs>
          <w:tab w:val="left" w:pos="2532"/>
          <w:tab w:val="center" w:pos="4806"/>
        </w:tabs>
        <w:spacing w:before="316" w:line="321" w:lineRule="exact"/>
        <w:textAlignment w:val="baseline"/>
        <w:rPr>
          <w:sz w:val="32"/>
        </w:rPr>
      </w:pPr>
      <w:r w:rsidRPr="00080E16">
        <w:rPr>
          <w:sz w:val="32"/>
        </w:rPr>
        <w:tab/>
      </w:r>
      <w:hyperlink r:id="rId8" w:history="1">
        <w:r w:rsidRPr="00080E16">
          <w:rPr>
            <w:rStyle w:val="Hyperlink"/>
            <w:sz w:val="32"/>
          </w:rPr>
          <w:t>https://www1.gotomeeting.com/join/430002377</w:t>
        </w:r>
      </w:hyperlink>
    </w:p>
    <w:p w:rsidR="0092505F" w:rsidRDefault="00774ED1">
      <w:pPr>
        <w:spacing w:before="316" w:line="321" w:lineRule="exact"/>
        <w:jc w:val="center"/>
        <w:textAlignment w:val="baseline"/>
        <w:rPr>
          <w:rFonts w:eastAsia="Times New Roman"/>
          <w:b/>
          <w:color w:val="000000"/>
          <w:sz w:val="28"/>
        </w:rPr>
      </w:pPr>
      <w:r>
        <w:rPr>
          <w:rFonts w:eastAsia="Times New Roman"/>
          <w:b/>
          <w:color w:val="000000"/>
          <w:sz w:val="28"/>
        </w:rPr>
        <w:t>2. Join the conference call:</w:t>
      </w:r>
    </w:p>
    <w:p w:rsidR="00B602F1" w:rsidRPr="00B602F1" w:rsidRDefault="00B602F1" w:rsidP="00B602F1">
      <w:pPr>
        <w:autoSpaceDE w:val="0"/>
        <w:autoSpaceDN w:val="0"/>
        <w:jc w:val="center"/>
        <w:rPr>
          <w:b/>
          <w:sz w:val="32"/>
          <w:szCs w:val="24"/>
        </w:rPr>
      </w:pPr>
      <w:r w:rsidRPr="00B602F1">
        <w:rPr>
          <w:b/>
          <w:sz w:val="32"/>
          <w:szCs w:val="24"/>
        </w:rPr>
        <w:t>1-800-786-1922</w:t>
      </w:r>
    </w:p>
    <w:p w:rsidR="00B602F1" w:rsidRPr="00B602F1" w:rsidRDefault="00B602F1" w:rsidP="00B602F1">
      <w:pPr>
        <w:autoSpaceDE w:val="0"/>
        <w:autoSpaceDN w:val="0"/>
        <w:jc w:val="center"/>
        <w:rPr>
          <w:b/>
          <w:sz w:val="32"/>
          <w:szCs w:val="24"/>
        </w:rPr>
      </w:pPr>
      <w:r w:rsidRPr="00B602F1">
        <w:rPr>
          <w:b/>
          <w:sz w:val="32"/>
          <w:szCs w:val="24"/>
        </w:rPr>
        <w:t>Code, 17928867</w:t>
      </w:r>
    </w:p>
    <w:p w:rsidR="0092505F" w:rsidRDefault="00774ED1">
      <w:pPr>
        <w:spacing w:before="747" w:after="141" w:line="460" w:lineRule="exact"/>
        <w:jc w:val="center"/>
        <w:textAlignment w:val="baseline"/>
        <w:rPr>
          <w:rFonts w:eastAsia="Times New Roman"/>
          <w:b/>
          <w:color w:val="000000"/>
          <w:sz w:val="40"/>
        </w:rPr>
      </w:pPr>
      <w:r>
        <w:rPr>
          <w:rFonts w:eastAsia="Times New Roman"/>
          <w:b/>
          <w:color w:val="000000"/>
          <w:sz w:val="40"/>
        </w:rPr>
        <w:t>Agenda</w:t>
      </w:r>
    </w:p>
    <w:tbl>
      <w:tblPr>
        <w:tblW w:w="0" w:type="auto"/>
        <w:tblInd w:w="14" w:type="dxa"/>
        <w:tblLayout w:type="fixed"/>
        <w:tblCellMar>
          <w:left w:w="0" w:type="dxa"/>
          <w:right w:w="0" w:type="dxa"/>
        </w:tblCellMar>
        <w:tblLook w:val="0000" w:firstRow="0" w:lastRow="0" w:firstColumn="0" w:lastColumn="0" w:noHBand="0" w:noVBand="0"/>
      </w:tblPr>
      <w:tblGrid>
        <w:gridCol w:w="835"/>
        <w:gridCol w:w="1618"/>
        <w:gridCol w:w="7132"/>
      </w:tblGrid>
      <w:tr w:rsidR="0092505F">
        <w:trPr>
          <w:trHeight w:hRule="exact" w:val="566"/>
        </w:trPr>
        <w:tc>
          <w:tcPr>
            <w:tcW w:w="835" w:type="dxa"/>
            <w:tcBorders>
              <w:top w:val="single" w:sz="5" w:space="0" w:color="000000"/>
              <w:left w:val="single" w:sz="5" w:space="0" w:color="000000"/>
              <w:bottom w:val="single" w:sz="5" w:space="0" w:color="000000"/>
              <w:right w:val="single" w:sz="5" w:space="0" w:color="000000"/>
            </w:tcBorders>
          </w:tcPr>
          <w:p w:rsidR="0092505F" w:rsidRDefault="0092505F">
            <w:pPr>
              <w:numPr>
                <w:ilvl w:val="0"/>
                <w:numId w:val="1"/>
              </w:numPr>
              <w:spacing w:after="262" w:line="275" w:lineRule="exact"/>
              <w:ind w:left="0" w:right="187"/>
              <w:jc w:val="right"/>
              <w:textAlignment w:val="baseline"/>
              <w:rPr>
                <w:rFonts w:eastAsia="Times New Roman"/>
                <w:b/>
                <w:color w:val="000000"/>
                <w:sz w:val="24"/>
              </w:rPr>
            </w:pPr>
          </w:p>
        </w:tc>
        <w:tc>
          <w:tcPr>
            <w:tcW w:w="1618" w:type="dxa"/>
            <w:tcBorders>
              <w:top w:val="single" w:sz="5" w:space="0" w:color="000000"/>
              <w:left w:val="single" w:sz="5" w:space="0" w:color="000000"/>
              <w:bottom w:val="single" w:sz="5" w:space="0" w:color="000000"/>
              <w:right w:val="single" w:sz="5" w:space="0" w:color="000000"/>
            </w:tcBorders>
          </w:tcPr>
          <w:p w:rsidR="0092505F" w:rsidRDefault="002D0F9A">
            <w:pPr>
              <w:spacing w:line="273" w:lineRule="exact"/>
              <w:ind w:left="108" w:right="468"/>
              <w:textAlignment w:val="baseline"/>
              <w:rPr>
                <w:rFonts w:eastAsia="Times New Roman"/>
                <w:b/>
                <w:color w:val="000000"/>
                <w:sz w:val="24"/>
              </w:rPr>
            </w:pPr>
            <w:r>
              <w:rPr>
                <w:rFonts w:eastAsia="Times New Roman"/>
                <w:b/>
                <w:color w:val="000000"/>
                <w:sz w:val="24"/>
              </w:rPr>
              <w:t>1:0</w:t>
            </w:r>
            <w:r w:rsidR="00774ED1">
              <w:rPr>
                <w:rFonts w:eastAsia="Times New Roman"/>
                <w:b/>
                <w:color w:val="000000"/>
                <w:sz w:val="24"/>
              </w:rPr>
              <w:t xml:space="preserve">0 </w:t>
            </w:r>
            <w:r w:rsidR="00774ED1">
              <w:rPr>
                <w:rFonts w:eastAsia="Times New Roman"/>
                <w:color w:val="000000"/>
                <w:w w:val="45"/>
                <w:sz w:val="31"/>
              </w:rPr>
              <w:t>–</w:t>
            </w:r>
            <w:r>
              <w:rPr>
                <w:rFonts w:eastAsia="Times New Roman"/>
                <w:b/>
                <w:color w:val="000000"/>
                <w:sz w:val="24"/>
              </w:rPr>
              <w:t>1:15 p</w:t>
            </w:r>
            <w:r w:rsidR="00774ED1">
              <w:rPr>
                <w:rFonts w:eastAsia="Times New Roman"/>
                <w:b/>
                <w:color w:val="000000"/>
                <w:sz w:val="24"/>
              </w:rPr>
              <w:t>.m.</w:t>
            </w:r>
          </w:p>
        </w:tc>
        <w:tc>
          <w:tcPr>
            <w:tcW w:w="7132" w:type="dxa"/>
            <w:tcBorders>
              <w:top w:val="single" w:sz="5" w:space="0" w:color="000000"/>
              <w:left w:val="single" w:sz="5" w:space="0" w:color="000000"/>
              <w:bottom w:val="single" w:sz="5" w:space="0" w:color="000000"/>
              <w:right w:val="single" w:sz="5" w:space="0" w:color="000000"/>
            </w:tcBorders>
          </w:tcPr>
          <w:p w:rsidR="0092505F" w:rsidRDefault="00774ED1">
            <w:pPr>
              <w:spacing w:after="262" w:line="275" w:lineRule="exact"/>
              <w:ind w:left="110"/>
              <w:textAlignment w:val="baseline"/>
              <w:rPr>
                <w:rFonts w:eastAsia="Times New Roman"/>
                <w:b/>
                <w:color w:val="000000"/>
                <w:sz w:val="24"/>
              </w:rPr>
            </w:pPr>
            <w:r>
              <w:rPr>
                <w:rFonts w:eastAsia="Times New Roman"/>
                <w:b/>
                <w:color w:val="000000"/>
                <w:sz w:val="24"/>
              </w:rPr>
              <w:t>Introductions and Approval of Agenda</w:t>
            </w:r>
          </w:p>
        </w:tc>
      </w:tr>
      <w:tr w:rsidR="0068699A">
        <w:trPr>
          <w:trHeight w:hRule="exact" w:val="284"/>
        </w:trPr>
        <w:tc>
          <w:tcPr>
            <w:tcW w:w="835" w:type="dxa"/>
            <w:tcBorders>
              <w:top w:val="single" w:sz="5" w:space="0" w:color="000000"/>
              <w:left w:val="single" w:sz="5" w:space="0" w:color="000000"/>
              <w:bottom w:val="none" w:sz="0" w:space="0" w:color="000000"/>
              <w:right w:val="single" w:sz="5" w:space="0" w:color="000000"/>
            </w:tcBorders>
            <w:vAlign w:val="center"/>
          </w:tcPr>
          <w:p w:rsidR="0068699A" w:rsidRDefault="0068699A" w:rsidP="0068699A">
            <w:pPr>
              <w:numPr>
                <w:ilvl w:val="0"/>
                <w:numId w:val="1"/>
              </w:numPr>
              <w:spacing w:line="264" w:lineRule="exact"/>
              <w:ind w:left="0" w:right="187"/>
              <w:jc w:val="right"/>
              <w:textAlignment w:val="baseline"/>
              <w:rPr>
                <w:rFonts w:eastAsia="Times New Roman"/>
                <w:b/>
                <w:color w:val="000000"/>
                <w:sz w:val="24"/>
              </w:rPr>
            </w:pPr>
          </w:p>
        </w:tc>
        <w:tc>
          <w:tcPr>
            <w:tcW w:w="1618" w:type="dxa"/>
            <w:tcBorders>
              <w:top w:val="single" w:sz="5" w:space="0" w:color="000000"/>
              <w:left w:val="single" w:sz="5" w:space="0" w:color="000000"/>
              <w:bottom w:val="none" w:sz="0" w:space="0" w:color="000000"/>
              <w:right w:val="single" w:sz="5" w:space="0" w:color="000000"/>
            </w:tcBorders>
            <w:vAlign w:val="center"/>
          </w:tcPr>
          <w:p w:rsidR="0068699A" w:rsidRDefault="002D0F9A" w:rsidP="0068699A">
            <w:pPr>
              <w:spacing w:line="279" w:lineRule="exact"/>
              <w:ind w:left="110"/>
              <w:textAlignment w:val="baseline"/>
              <w:rPr>
                <w:rFonts w:eastAsia="Times New Roman"/>
                <w:b/>
                <w:color w:val="000000"/>
                <w:sz w:val="24"/>
              </w:rPr>
            </w:pPr>
            <w:r>
              <w:rPr>
                <w:rFonts w:eastAsia="Times New Roman"/>
                <w:b/>
                <w:color w:val="000000"/>
                <w:sz w:val="24"/>
              </w:rPr>
              <w:t>1:1</w:t>
            </w:r>
            <w:r w:rsidR="0068699A">
              <w:rPr>
                <w:rFonts w:eastAsia="Times New Roman"/>
                <w:b/>
                <w:color w:val="000000"/>
                <w:sz w:val="24"/>
              </w:rPr>
              <w:t xml:space="preserve">5 </w:t>
            </w:r>
            <w:r w:rsidR="0068699A">
              <w:rPr>
                <w:rFonts w:eastAsia="Times New Roman"/>
                <w:color w:val="000000"/>
                <w:w w:val="45"/>
                <w:sz w:val="31"/>
              </w:rPr>
              <w:t xml:space="preserve">– </w:t>
            </w:r>
            <w:r>
              <w:rPr>
                <w:rFonts w:eastAsia="Times New Roman"/>
                <w:b/>
                <w:color w:val="000000"/>
                <w:sz w:val="24"/>
              </w:rPr>
              <w:t>1:4</w:t>
            </w:r>
            <w:r w:rsidR="003A2FF5">
              <w:rPr>
                <w:rFonts w:eastAsia="Times New Roman"/>
                <w:b/>
                <w:color w:val="000000"/>
                <w:sz w:val="24"/>
              </w:rPr>
              <w:t>5</w:t>
            </w:r>
          </w:p>
        </w:tc>
        <w:tc>
          <w:tcPr>
            <w:tcW w:w="7132" w:type="dxa"/>
            <w:tcBorders>
              <w:top w:val="single" w:sz="5" w:space="0" w:color="000000"/>
              <w:left w:val="single" w:sz="5" w:space="0" w:color="000000"/>
              <w:bottom w:val="none" w:sz="0" w:space="0" w:color="000000"/>
              <w:right w:val="single" w:sz="5" w:space="0" w:color="000000"/>
            </w:tcBorders>
            <w:vAlign w:val="center"/>
          </w:tcPr>
          <w:p w:rsidR="0068699A" w:rsidRDefault="0068699A" w:rsidP="0068699A">
            <w:pPr>
              <w:spacing w:line="258" w:lineRule="exact"/>
              <w:ind w:left="110"/>
              <w:textAlignment w:val="baseline"/>
              <w:rPr>
                <w:rFonts w:eastAsia="Times New Roman"/>
                <w:b/>
                <w:color w:val="000000"/>
                <w:sz w:val="24"/>
              </w:rPr>
            </w:pPr>
            <w:r>
              <w:rPr>
                <w:rFonts w:eastAsia="Times New Roman"/>
                <w:b/>
                <w:color w:val="000000"/>
                <w:sz w:val="24"/>
              </w:rPr>
              <w:t>Briefing on Daft Fish &amp; Wildlife Program Related</w:t>
            </w:r>
          </w:p>
        </w:tc>
      </w:tr>
      <w:tr w:rsidR="0068699A" w:rsidTr="00A86890">
        <w:trPr>
          <w:trHeight w:hRule="exact" w:val="278"/>
        </w:trPr>
        <w:tc>
          <w:tcPr>
            <w:tcW w:w="835" w:type="dxa"/>
            <w:tcBorders>
              <w:top w:val="none" w:sz="0" w:space="0" w:color="000000"/>
              <w:left w:val="single" w:sz="5" w:space="0" w:color="000000"/>
              <w:bottom w:val="single" w:sz="5" w:space="0" w:color="000000"/>
              <w:right w:val="single" w:sz="5" w:space="0" w:color="000000"/>
            </w:tcBorders>
          </w:tcPr>
          <w:p w:rsidR="0068699A" w:rsidRDefault="0068699A" w:rsidP="0068699A">
            <w:pPr>
              <w:textAlignment w:val="baseline"/>
              <w:rPr>
                <w:rFonts w:ascii="Garamond" w:eastAsia="Garamond" w:hAnsi="Garamond"/>
                <w:color w:val="000000"/>
                <w:sz w:val="24"/>
              </w:rPr>
            </w:pPr>
          </w:p>
        </w:tc>
        <w:tc>
          <w:tcPr>
            <w:tcW w:w="1618" w:type="dxa"/>
            <w:tcBorders>
              <w:top w:val="none" w:sz="0" w:space="0" w:color="000000"/>
              <w:left w:val="single" w:sz="5" w:space="0" w:color="000000"/>
              <w:bottom w:val="single" w:sz="5" w:space="0" w:color="000000"/>
              <w:right w:val="single" w:sz="5" w:space="0" w:color="000000"/>
            </w:tcBorders>
            <w:vAlign w:val="center"/>
          </w:tcPr>
          <w:p w:rsidR="0068699A" w:rsidRDefault="002D0F9A" w:rsidP="0068699A">
            <w:pPr>
              <w:spacing w:line="258" w:lineRule="exact"/>
              <w:ind w:left="110"/>
              <w:textAlignment w:val="baseline"/>
              <w:rPr>
                <w:rFonts w:eastAsia="Times New Roman"/>
                <w:b/>
                <w:color w:val="000000"/>
                <w:sz w:val="24"/>
              </w:rPr>
            </w:pPr>
            <w:r>
              <w:rPr>
                <w:rFonts w:eastAsia="Times New Roman"/>
                <w:b/>
                <w:color w:val="000000"/>
                <w:sz w:val="24"/>
              </w:rPr>
              <w:t>p</w:t>
            </w:r>
            <w:r w:rsidR="0068699A">
              <w:rPr>
                <w:rFonts w:eastAsia="Times New Roman"/>
                <w:b/>
                <w:color w:val="000000"/>
                <w:sz w:val="24"/>
              </w:rPr>
              <w:t>.m.</w:t>
            </w:r>
          </w:p>
        </w:tc>
        <w:tc>
          <w:tcPr>
            <w:tcW w:w="7132" w:type="dxa"/>
            <w:tcBorders>
              <w:top w:val="none" w:sz="0" w:space="0" w:color="000000"/>
              <w:left w:val="single" w:sz="5" w:space="0" w:color="000000"/>
              <w:bottom w:val="single" w:sz="5" w:space="0" w:color="000000"/>
              <w:right w:val="single" w:sz="5" w:space="0" w:color="000000"/>
            </w:tcBorders>
            <w:vAlign w:val="center"/>
          </w:tcPr>
          <w:p w:rsidR="0068699A" w:rsidRDefault="0068699A" w:rsidP="0068699A">
            <w:pPr>
              <w:spacing w:before="44" w:after="26" w:line="275" w:lineRule="exact"/>
              <w:ind w:left="110"/>
              <w:textAlignment w:val="baseline"/>
              <w:rPr>
                <w:rFonts w:eastAsia="Times New Roman"/>
                <w:b/>
                <w:color w:val="000000"/>
                <w:sz w:val="24"/>
              </w:rPr>
            </w:pPr>
            <w:r>
              <w:rPr>
                <w:rFonts w:eastAsia="Times New Roman"/>
                <w:b/>
                <w:color w:val="000000"/>
                <w:sz w:val="24"/>
              </w:rPr>
              <w:t>Issues</w:t>
            </w:r>
            <w:r w:rsidR="003A2FF5">
              <w:rPr>
                <w:rFonts w:eastAsia="Times New Roman"/>
                <w:b/>
                <w:color w:val="000000"/>
                <w:sz w:val="24"/>
              </w:rPr>
              <w:t xml:space="preserve"> (see</w:t>
            </w:r>
            <w:r w:rsidR="00F37644">
              <w:rPr>
                <w:rFonts w:eastAsia="Times New Roman"/>
                <w:b/>
                <w:color w:val="000000"/>
                <w:sz w:val="24"/>
              </w:rPr>
              <w:t xml:space="preserve"> attachmen 1</w:t>
            </w:r>
            <w:r w:rsidR="003A2FF5">
              <w:rPr>
                <w:rFonts w:eastAsia="Times New Roman"/>
                <w:b/>
                <w:color w:val="000000"/>
                <w:sz w:val="24"/>
              </w:rPr>
              <w:t xml:space="preserve"> below)</w:t>
            </w:r>
          </w:p>
        </w:tc>
      </w:tr>
      <w:tr w:rsidR="0068699A">
        <w:trPr>
          <w:trHeight w:hRule="exact" w:val="293"/>
        </w:trPr>
        <w:tc>
          <w:tcPr>
            <w:tcW w:w="835" w:type="dxa"/>
            <w:tcBorders>
              <w:top w:val="single" w:sz="5" w:space="0" w:color="000000"/>
              <w:left w:val="single" w:sz="5" w:space="0" w:color="000000"/>
              <w:bottom w:val="none" w:sz="0" w:space="0" w:color="000000"/>
              <w:right w:val="single" w:sz="5" w:space="0" w:color="000000"/>
            </w:tcBorders>
            <w:vAlign w:val="center"/>
          </w:tcPr>
          <w:p w:rsidR="0068699A" w:rsidRDefault="0068699A" w:rsidP="0068699A">
            <w:pPr>
              <w:numPr>
                <w:ilvl w:val="0"/>
                <w:numId w:val="1"/>
              </w:numPr>
              <w:spacing w:line="263" w:lineRule="exact"/>
              <w:ind w:left="0" w:right="187"/>
              <w:jc w:val="right"/>
              <w:textAlignment w:val="baseline"/>
              <w:rPr>
                <w:rFonts w:eastAsia="Times New Roman"/>
                <w:b/>
                <w:color w:val="000000"/>
                <w:sz w:val="24"/>
              </w:rPr>
            </w:pPr>
          </w:p>
        </w:tc>
        <w:tc>
          <w:tcPr>
            <w:tcW w:w="1618" w:type="dxa"/>
            <w:tcBorders>
              <w:top w:val="single" w:sz="5" w:space="0" w:color="000000"/>
              <w:left w:val="single" w:sz="5" w:space="0" w:color="000000"/>
              <w:bottom w:val="none" w:sz="0" w:space="0" w:color="000000"/>
              <w:right w:val="single" w:sz="5" w:space="0" w:color="000000"/>
            </w:tcBorders>
            <w:vAlign w:val="center"/>
          </w:tcPr>
          <w:p w:rsidR="0068699A" w:rsidRDefault="002D0F9A" w:rsidP="0068699A">
            <w:pPr>
              <w:spacing w:line="278" w:lineRule="exact"/>
              <w:ind w:left="110"/>
              <w:textAlignment w:val="baseline"/>
              <w:rPr>
                <w:rFonts w:eastAsia="Times New Roman"/>
                <w:b/>
                <w:color w:val="000000"/>
                <w:sz w:val="24"/>
              </w:rPr>
            </w:pPr>
            <w:r>
              <w:rPr>
                <w:rFonts w:eastAsia="Times New Roman"/>
                <w:b/>
                <w:color w:val="000000"/>
                <w:sz w:val="24"/>
              </w:rPr>
              <w:t>1:4</w:t>
            </w:r>
            <w:r w:rsidR="003A2FF5">
              <w:rPr>
                <w:rFonts w:eastAsia="Times New Roman"/>
                <w:b/>
                <w:color w:val="000000"/>
                <w:sz w:val="24"/>
              </w:rPr>
              <w:t>5</w:t>
            </w:r>
            <w:r w:rsidR="0068699A">
              <w:rPr>
                <w:rFonts w:eastAsia="Times New Roman"/>
                <w:b/>
                <w:color w:val="000000"/>
                <w:sz w:val="24"/>
              </w:rPr>
              <w:t xml:space="preserve"> </w:t>
            </w:r>
            <w:r w:rsidR="0068699A">
              <w:rPr>
                <w:rFonts w:eastAsia="Times New Roman"/>
                <w:color w:val="000000"/>
                <w:w w:val="45"/>
                <w:sz w:val="31"/>
              </w:rPr>
              <w:t xml:space="preserve">– </w:t>
            </w:r>
            <w:r>
              <w:rPr>
                <w:rFonts w:eastAsia="Times New Roman"/>
                <w:b/>
                <w:color w:val="000000"/>
                <w:sz w:val="24"/>
              </w:rPr>
              <w:t>2:15</w:t>
            </w:r>
          </w:p>
        </w:tc>
        <w:tc>
          <w:tcPr>
            <w:tcW w:w="7132" w:type="dxa"/>
            <w:tcBorders>
              <w:top w:val="single" w:sz="5" w:space="0" w:color="000000"/>
              <w:left w:val="single" w:sz="5" w:space="0" w:color="000000"/>
              <w:bottom w:val="none" w:sz="0" w:space="0" w:color="000000"/>
              <w:right w:val="single" w:sz="5" w:space="0" w:color="000000"/>
            </w:tcBorders>
            <w:vAlign w:val="center"/>
          </w:tcPr>
          <w:p w:rsidR="0068699A" w:rsidRDefault="00D1342F" w:rsidP="0068699A">
            <w:pPr>
              <w:spacing w:line="258" w:lineRule="exact"/>
              <w:ind w:left="110"/>
              <w:textAlignment w:val="baseline"/>
              <w:rPr>
                <w:rFonts w:eastAsia="Times New Roman"/>
                <w:b/>
                <w:color w:val="000000"/>
                <w:sz w:val="24"/>
              </w:rPr>
            </w:pPr>
            <w:r>
              <w:rPr>
                <w:rFonts w:eastAsia="Times New Roman"/>
                <w:b/>
                <w:color w:val="000000"/>
                <w:sz w:val="24"/>
              </w:rPr>
              <w:t>Group Discussion:</w:t>
            </w:r>
            <w:r w:rsidR="003A2FF5">
              <w:rPr>
                <w:rFonts w:eastAsia="Times New Roman"/>
                <w:b/>
                <w:color w:val="000000"/>
                <w:sz w:val="24"/>
              </w:rPr>
              <w:t xml:space="preserve"> Develop Approaches and Strategies for addressing</w:t>
            </w:r>
            <w:r>
              <w:rPr>
                <w:rFonts w:eastAsia="Times New Roman"/>
                <w:b/>
                <w:color w:val="000000"/>
                <w:sz w:val="24"/>
              </w:rPr>
              <w:t xml:space="preserve"> </w:t>
            </w:r>
          </w:p>
        </w:tc>
      </w:tr>
      <w:tr w:rsidR="0068699A">
        <w:trPr>
          <w:trHeight w:hRule="exact" w:val="355"/>
        </w:trPr>
        <w:tc>
          <w:tcPr>
            <w:tcW w:w="835" w:type="dxa"/>
            <w:tcBorders>
              <w:top w:val="none" w:sz="0" w:space="0" w:color="000000"/>
              <w:left w:val="single" w:sz="5" w:space="0" w:color="000000"/>
              <w:bottom w:val="single" w:sz="5" w:space="0" w:color="000000"/>
              <w:right w:val="single" w:sz="5" w:space="0" w:color="000000"/>
            </w:tcBorders>
          </w:tcPr>
          <w:p w:rsidR="0068699A" w:rsidRDefault="0068699A" w:rsidP="0068699A">
            <w:pPr>
              <w:textAlignment w:val="baseline"/>
              <w:rPr>
                <w:rFonts w:ascii="Garamond" w:eastAsia="Garamond" w:hAnsi="Garamond"/>
                <w:color w:val="000000"/>
                <w:sz w:val="24"/>
              </w:rPr>
            </w:pPr>
          </w:p>
        </w:tc>
        <w:tc>
          <w:tcPr>
            <w:tcW w:w="1618" w:type="dxa"/>
            <w:tcBorders>
              <w:top w:val="none" w:sz="0" w:space="0" w:color="000000"/>
              <w:left w:val="single" w:sz="5" w:space="0" w:color="000000"/>
              <w:bottom w:val="single" w:sz="5" w:space="0" w:color="000000"/>
              <w:right w:val="single" w:sz="5" w:space="0" w:color="000000"/>
            </w:tcBorders>
            <w:vAlign w:val="center"/>
          </w:tcPr>
          <w:p w:rsidR="0068699A" w:rsidRDefault="002D0F9A" w:rsidP="0068699A">
            <w:pPr>
              <w:spacing w:after="70" w:line="275" w:lineRule="exact"/>
              <w:ind w:left="110"/>
              <w:textAlignment w:val="baseline"/>
              <w:rPr>
                <w:rFonts w:eastAsia="Times New Roman"/>
                <w:b/>
                <w:color w:val="000000"/>
                <w:sz w:val="24"/>
              </w:rPr>
            </w:pPr>
            <w:r>
              <w:rPr>
                <w:rFonts w:eastAsia="Times New Roman"/>
                <w:b/>
                <w:color w:val="000000"/>
                <w:sz w:val="24"/>
              </w:rPr>
              <w:t>p</w:t>
            </w:r>
            <w:r w:rsidR="0068699A">
              <w:rPr>
                <w:rFonts w:eastAsia="Times New Roman"/>
                <w:b/>
                <w:color w:val="000000"/>
                <w:sz w:val="24"/>
              </w:rPr>
              <w:t>.m.</w:t>
            </w:r>
          </w:p>
        </w:tc>
        <w:tc>
          <w:tcPr>
            <w:tcW w:w="7132" w:type="dxa"/>
            <w:tcBorders>
              <w:top w:val="none" w:sz="0" w:space="0" w:color="000000"/>
              <w:left w:val="single" w:sz="5" w:space="0" w:color="000000"/>
              <w:bottom w:val="single" w:sz="5" w:space="0" w:color="000000"/>
              <w:right w:val="single" w:sz="5" w:space="0" w:color="000000"/>
            </w:tcBorders>
            <w:vAlign w:val="center"/>
          </w:tcPr>
          <w:p w:rsidR="0068699A" w:rsidRDefault="003A2FF5" w:rsidP="0068699A">
            <w:pPr>
              <w:spacing w:before="44" w:after="26" w:line="275" w:lineRule="exact"/>
              <w:ind w:left="110"/>
              <w:textAlignment w:val="baseline"/>
              <w:rPr>
                <w:rFonts w:eastAsia="Times New Roman"/>
                <w:b/>
                <w:color w:val="000000"/>
                <w:sz w:val="24"/>
              </w:rPr>
            </w:pPr>
            <w:r>
              <w:rPr>
                <w:rFonts w:eastAsia="Times New Roman"/>
                <w:b/>
                <w:color w:val="000000"/>
                <w:sz w:val="24"/>
              </w:rPr>
              <w:t>Addressing Issues</w:t>
            </w:r>
          </w:p>
        </w:tc>
      </w:tr>
      <w:tr w:rsidR="00584FE2">
        <w:trPr>
          <w:trHeight w:hRule="exact" w:val="355"/>
        </w:trPr>
        <w:tc>
          <w:tcPr>
            <w:tcW w:w="835" w:type="dxa"/>
            <w:tcBorders>
              <w:top w:val="none" w:sz="0" w:space="0" w:color="000000"/>
              <w:left w:val="single" w:sz="5" w:space="0" w:color="000000"/>
              <w:bottom w:val="single" w:sz="5" w:space="0" w:color="000000"/>
              <w:right w:val="single" w:sz="5" w:space="0" w:color="000000"/>
            </w:tcBorders>
          </w:tcPr>
          <w:p w:rsidR="00584FE2" w:rsidRDefault="00584FE2" w:rsidP="0068699A">
            <w:pPr>
              <w:textAlignment w:val="baseline"/>
              <w:rPr>
                <w:rFonts w:ascii="Garamond" w:eastAsia="Garamond" w:hAnsi="Garamond"/>
                <w:color w:val="000000"/>
                <w:sz w:val="24"/>
              </w:rPr>
            </w:pPr>
            <w:r w:rsidRPr="00584FE2">
              <w:rPr>
                <w:rFonts w:ascii="Garamond" w:eastAsia="Garamond" w:hAnsi="Garamond"/>
                <w:b/>
                <w:color w:val="000000"/>
                <w:sz w:val="24"/>
              </w:rPr>
              <w:t>4</w:t>
            </w:r>
            <w:r>
              <w:rPr>
                <w:rFonts w:ascii="Garamond" w:eastAsia="Garamond" w:hAnsi="Garamond"/>
                <w:color w:val="000000"/>
                <w:sz w:val="24"/>
              </w:rPr>
              <w:t>.</w:t>
            </w:r>
          </w:p>
          <w:p w:rsidR="00584FE2" w:rsidRDefault="00584FE2" w:rsidP="0068699A">
            <w:pPr>
              <w:textAlignment w:val="baseline"/>
              <w:rPr>
                <w:rFonts w:ascii="Garamond" w:eastAsia="Garamond" w:hAnsi="Garamond"/>
                <w:color w:val="000000"/>
                <w:sz w:val="24"/>
              </w:rPr>
            </w:pPr>
          </w:p>
          <w:p w:rsidR="00584FE2" w:rsidRDefault="00584FE2" w:rsidP="0068699A">
            <w:pPr>
              <w:textAlignment w:val="baseline"/>
              <w:rPr>
                <w:rFonts w:ascii="Garamond" w:eastAsia="Garamond" w:hAnsi="Garamond"/>
                <w:color w:val="000000"/>
                <w:sz w:val="24"/>
              </w:rPr>
            </w:pPr>
          </w:p>
        </w:tc>
        <w:tc>
          <w:tcPr>
            <w:tcW w:w="1618" w:type="dxa"/>
            <w:tcBorders>
              <w:top w:val="none" w:sz="0" w:space="0" w:color="000000"/>
              <w:left w:val="single" w:sz="5" w:space="0" w:color="000000"/>
              <w:bottom w:val="single" w:sz="5" w:space="0" w:color="000000"/>
              <w:right w:val="single" w:sz="5" w:space="0" w:color="000000"/>
            </w:tcBorders>
            <w:vAlign w:val="center"/>
          </w:tcPr>
          <w:p w:rsidR="00584FE2" w:rsidRDefault="002D0F9A" w:rsidP="0068699A">
            <w:pPr>
              <w:spacing w:after="70" w:line="275" w:lineRule="exact"/>
              <w:ind w:left="110"/>
              <w:textAlignment w:val="baseline"/>
              <w:rPr>
                <w:rFonts w:eastAsia="Times New Roman"/>
                <w:b/>
                <w:color w:val="000000"/>
                <w:sz w:val="24"/>
              </w:rPr>
            </w:pPr>
            <w:r>
              <w:rPr>
                <w:rFonts w:eastAsia="Times New Roman"/>
                <w:b/>
                <w:color w:val="000000"/>
                <w:sz w:val="24"/>
              </w:rPr>
              <w:t>2:15 -2:30p</w:t>
            </w:r>
            <w:r w:rsidR="00584FE2">
              <w:rPr>
                <w:rFonts w:eastAsia="Times New Roman"/>
                <w:b/>
                <w:color w:val="000000"/>
                <w:sz w:val="24"/>
              </w:rPr>
              <w:t>.m</w:t>
            </w:r>
          </w:p>
          <w:p w:rsidR="00584FE2" w:rsidRDefault="00584FE2" w:rsidP="0068699A">
            <w:pPr>
              <w:spacing w:after="70" w:line="275" w:lineRule="exact"/>
              <w:ind w:left="110"/>
              <w:textAlignment w:val="baseline"/>
              <w:rPr>
                <w:rFonts w:eastAsia="Times New Roman"/>
                <w:b/>
                <w:color w:val="000000"/>
                <w:sz w:val="24"/>
              </w:rPr>
            </w:pPr>
          </w:p>
          <w:p w:rsidR="00584FE2" w:rsidRDefault="00584FE2" w:rsidP="0068699A">
            <w:pPr>
              <w:spacing w:after="70" w:line="275" w:lineRule="exact"/>
              <w:ind w:left="110"/>
              <w:textAlignment w:val="baseline"/>
              <w:rPr>
                <w:rFonts w:eastAsia="Times New Roman"/>
                <w:b/>
                <w:color w:val="000000"/>
                <w:sz w:val="24"/>
              </w:rPr>
            </w:pPr>
          </w:p>
        </w:tc>
        <w:tc>
          <w:tcPr>
            <w:tcW w:w="7132" w:type="dxa"/>
            <w:tcBorders>
              <w:top w:val="none" w:sz="0" w:space="0" w:color="000000"/>
              <w:left w:val="single" w:sz="5" w:space="0" w:color="000000"/>
              <w:bottom w:val="single" w:sz="5" w:space="0" w:color="000000"/>
              <w:right w:val="single" w:sz="5" w:space="0" w:color="000000"/>
            </w:tcBorders>
            <w:vAlign w:val="center"/>
          </w:tcPr>
          <w:p w:rsidR="00584FE2" w:rsidRDefault="00584FE2" w:rsidP="0068699A">
            <w:pPr>
              <w:spacing w:before="44" w:after="26" w:line="275" w:lineRule="exact"/>
              <w:ind w:left="110"/>
              <w:textAlignment w:val="baseline"/>
              <w:rPr>
                <w:rFonts w:eastAsia="Times New Roman"/>
                <w:b/>
                <w:color w:val="000000"/>
                <w:sz w:val="24"/>
              </w:rPr>
            </w:pPr>
            <w:r>
              <w:rPr>
                <w:rFonts w:eastAsia="Times New Roman"/>
                <w:b/>
                <w:color w:val="000000"/>
                <w:sz w:val="24"/>
              </w:rPr>
              <w:t>Break</w:t>
            </w:r>
          </w:p>
        </w:tc>
      </w:tr>
      <w:tr w:rsidR="0068699A">
        <w:trPr>
          <w:trHeight w:hRule="exact" w:val="283"/>
        </w:trPr>
        <w:tc>
          <w:tcPr>
            <w:tcW w:w="835" w:type="dxa"/>
            <w:tcBorders>
              <w:top w:val="single" w:sz="5" w:space="0" w:color="000000"/>
              <w:left w:val="single" w:sz="5" w:space="0" w:color="000000"/>
              <w:bottom w:val="none" w:sz="0" w:space="0" w:color="000000"/>
              <w:right w:val="single" w:sz="5" w:space="0" w:color="000000"/>
            </w:tcBorders>
            <w:vAlign w:val="center"/>
          </w:tcPr>
          <w:p w:rsidR="0068699A" w:rsidRPr="00584FE2" w:rsidRDefault="00584FE2" w:rsidP="00584FE2">
            <w:pPr>
              <w:tabs>
                <w:tab w:val="left" w:pos="144"/>
              </w:tabs>
              <w:spacing w:line="263" w:lineRule="exact"/>
              <w:ind w:right="187"/>
              <w:textAlignment w:val="baseline"/>
              <w:rPr>
                <w:rFonts w:eastAsia="Times New Roman"/>
                <w:b/>
                <w:color w:val="000000"/>
                <w:sz w:val="24"/>
              </w:rPr>
            </w:pPr>
            <w:r w:rsidRPr="00584FE2">
              <w:rPr>
                <w:rFonts w:eastAsia="Times New Roman"/>
                <w:b/>
                <w:color w:val="000000"/>
                <w:sz w:val="24"/>
              </w:rPr>
              <w:t>5</w:t>
            </w:r>
            <w:r>
              <w:rPr>
                <w:rFonts w:eastAsia="Times New Roman"/>
                <w:b/>
                <w:color w:val="000000"/>
                <w:sz w:val="24"/>
              </w:rPr>
              <w:t>.</w:t>
            </w:r>
          </w:p>
        </w:tc>
        <w:tc>
          <w:tcPr>
            <w:tcW w:w="1618" w:type="dxa"/>
            <w:tcBorders>
              <w:top w:val="single" w:sz="5" w:space="0" w:color="000000"/>
              <w:left w:val="single" w:sz="5" w:space="0" w:color="000000"/>
              <w:bottom w:val="none" w:sz="0" w:space="0" w:color="000000"/>
              <w:right w:val="single" w:sz="5" w:space="0" w:color="000000"/>
            </w:tcBorders>
            <w:vAlign w:val="center"/>
          </w:tcPr>
          <w:p w:rsidR="0068699A" w:rsidRDefault="002D0F9A" w:rsidP="0068699A">
            <w:pPr>
              <w:spacing w:line="278" w:lineRule="exact"/>
              <w:ind w:left="110"/>
              <w:textAlignment w:val="baseline"/>
              <w:rPr>
                <w:rFonts w:eastAsia="Times New Roman"/>
                <w:b/>
                <w:color w:val="000000"/>
                <w:sz w:val="24"/>
              </w:rPr>
            </w:pPr>
            <w:r>
              <w:rPr>
                <w:rFonts w:eastAsia="Times New Roman"/>
                <w:b/>
                <w:color w:val="000000"/>
                <w:sz w:val="24"/>
              </w:rPr>
              <w:t>2:30</w:t>
            </w:r>
            <w:r w:rsidR="0068699A">
              <w:rPr>
                <w:rFonts w:eastAsia="Times New Roman"/>
                <w:b/>
                <w:color w:val="000000"/>
                <w:sz w:val="24"/>
              </w:rPr>
              <w:t xml:space="preserve"> </w:t>
            </w:r>
            <w:r w:rsidR="0068699A">
              <w:rPr>
                <w:rFonts w:eastAsia="Times New Roman"/>
                <w:color w:val="000000"/>
                <w:w w:val="45"/>
                <w:sz w:val="31"/>
              </w:rPr>
              <w:t xml:space="preserve">– </w:t>
            </w:r>
            <w:r>
              <w:rPr>
                <w:rFonts w:eastAsia="Times New Roman"/>
                <w:b/>
                <w:color w:val="000000"/>
                <w:sz w:val="24"/>
              </w:rPr>
              <w:t>3:45</w:t>
            </w:r>
          </w:p>
        </w:tc>
        <w:tc>
          <w:tcPr>
            <w:tcW w:w="7132" w:type="dxa"/>
            <w:tcBorders>
              <w:top w:val="single" w:sz="5" w:space="0" w:color="000000"/>
              <w:left w:val="single" w:sz="5" w:space="0" w:color="000000"/>
              <w:bottom w:val="none" w:sz="0" w:space="0" w:color="000000"/>
              <w:right w:val="single" w:sz="5" w:space="0" w:color="000000"/>
            </w:tcBorders>
            <w:vAlign w:val="center"/>
          </w:tcPr>
          <w:p w:rsidR="0068699A" w:rsidRDefault="00584FE2" w:rsidP="00584FE2">
            <w:pPr>
              <w:spacing w:line="263" w:lineRule="exact"/>
              <w:textAlignment w:val="baseline"/>
              <w:rPr>
                <w:rFonts w:eastAsia="Times New Roman"/>
                <w:b/>
                <w:color w:val="000000"/>
                <w:sz w:val="24"/>
              </w:rPr>
            </w:pPr>
            <w:r>
              <w:rPr>
                <w:rFonts w:eastAsia="Times New Roman"/>
                <w:b/>
                <w:color w:val="000000"/>
                <w:sz w:val="24"/>
              </w:rPr>
              <w:t xml:space="preserve">  </w:t>
            </w:r>
            <w:r w:rsidR="0068699A">
              <w:rPr>
                <w:rFonts w:eastAsia="Times New Roman"/>
                <w:b/>
                <w:color w:val="000000"/>
                <w:sz w:val="24"/>
              </w:rPr>
              <w:t xml:space="preserve">Develop Workplan and Schedule for completing </w:t>
            </w:r>
            <w:r w:rsidR="00080E16">
              <w:rPr>
                <w:rFonts w:eastAsia="Times New Roman"/>
                <w:b/>
                <w:color w:val="000000"/>
                <w:sz w:val="24"/>
              </w:rPr>
              <w:t>HEP</w:t>
            </w:r>
            <w:r w:rsidR="00B602F1">
              <w:rPr>
                <w:rFonts w:eastAsia="Times New Roman"/>
                <w:b/>
                <w:color w:val="000000"/>
                <w:sz w:val="24"/>
              </w:rPr>
              <w:t xml:space="preserve"> Rec</w:t>
            </w:r>
          </w:p>
        </w:tc>
      </w:tr>
      <w:tr w:rsidR="0068699A">
        <w:trPr>
          <w:trHeight w:hRule="exact" w:val="279"/>
        </w:trPr>
        <w:tc>
          <w:tcPr>
            <w:tcW w:w="835" w:type="dxa"/>
            <w:tcBorders>
              <w:top w:val="none" w:sz="0" w:space="0" w:color="000000"/>
              <w:left w:val="single" w:sz="5" w:space="0" w:color="000000"/>
              <w:bottom w:val="single" w:sz="5" w:space="0" w:color="000000"/>
              <w:right w:val="single" w:sz="5" w:space="0" w:color="000000"/>
            </w:tcBorders>
          </w:tcPr>
          <w:p w:rsidR="0068699A" w:rsidRDefault="0068699A" w:rsidP="0068699A">
            <w:pPr>
              <w:textAlignment w:val="baseline"/>
              <w:rPr>
                <w:rFonts w:ascii="Garamond" w:eastAsia="Garamond" w:hAnsi="Garamond"/>
                <w:color w:val="000000"/>
                <w:sz w:val="24"/>
              </w:rPr>
            </w:pPr>
          </w:p>
        </w:tc>
        <w:tc>
          <w:tcPr>
            <w:tcW w:w="1618" w:type="dxa"/>
            <w:tcBorders>
              <w:top w:val="none" w:sz="0" w:space="0" w:color="000000"/>
              <w:left w:val="single" w:sz="5" w:space="0" w:color="000000"/>
              <w:bottom w:val="single" w:sz="5" w:space="0" w:color="000000"/>
              <w:right w:val="single" w:sz="5" w:space="0" w:color="000000"/>
            </w:tcBorders>
            <w:vAlign w:val="center"/>
          </w:tcPr>
          <w:p w:rsidR="0068699A" w:rsidRDefault="002D0F9A" w:rsidP="0068699A">
            <w:pPr>
              <w:spacing w:line="263" w:lineRule="exact"/>
              <w:ind w:left="110"/>
              <w:textAlignment w:val="baseline"/>
              <w:rPr>
                <w:rFonts w:eastAsia="Times New Roman"/>
                <w:b/>
                <w:color w:val="000000"/>
                <w:sz w:val="24"/>
              </w:rPr>
            </w:pPr>
            <w:r>
              <w:rPr>
                <w:rFonts w:eastAsia="Times New Roman"/>
                <w:b/>
                <w:color w:val="000000"/>
                <w:sz w:val="24"/>
              </w:rPr>
              <w:t>p</w:t>
            </w:r>
            <w:r w:rsidR="0068699A">
              <w:rPr>
                <w:rFonts w:eastAsia="Times New Roman"/>
                <w:b/>
                <w:color w:val="000000"/>
                <w:sz w:val="24"/>
              </w:rPr>
              <w:t>.m.</w:t>
            </w:r>
          </w:p>
        </w:tc>
        <w:tc>
          <w:tcPr>
            <w:tcW w:w="7132" w:type="dxa"/>
            <w:tcBorders>
              <w:top w:val="none" w:sz="0" w:space="0" w:color="000000"/>
              <w:left w:val="single" w:sz="5" w:space="0" w:color="000000"/>
              <w:bottom w:val="single" w:sz="5" w:space="0" w:color="000000"/>
              <w:right w:val="single" w:sz="5" w:space="0" w:color="000000"/>
            </w:tcBorders>
          </w:tcPr>
          <w:p w:rsidR="0068699A" w:rsidRPr="00B602F1" w:rsidRDefault="00584FE2" w:rsidP="0068699A">
            <w:pPr>
              <w:textAlignment w:val="baseline"/>
              <w:rPr>
                <w:rFonts w:eastAsia="Garamond"/>
                <w:b/>
                <w:color w:val="000000"/>
                <w:sz w:val="24"/>
              </w:rPr>
            </w:pPr>
            <w:r>
              <w:rPr>
                <w:rFonts w:eastAsia="Garamond"/>
                <w:b/>
                <w:color w:val="000000"/>
                <w:sz w:val="24"/>
              </w:rPr>
              <w:t xml:space="preserve">  </w:t>
            </w:r>
            <w:r w:rsidR="00B602F1" w:rsidRPr="00B602F1">
              <w:rPr>
                <w:rFonts w:eastAsia="Garamond"/>
                <w:b/>
                <w:color w:val="000000"/>
                <w:sz w:val="24"/>
              </w:rPr>
              <w:t>Recommendations</w:t>
            </w:r>
          </w:p>
        </w:tc>
      </w:tr>
      <w:tr w:rsidR="0068699A">
        <w:trPr>
          <w:trHeight w:hRule="exact" w:val="283"/>
        </w:trPr>
        <w:tc>
          <w:tcPr>
            <w:tcW w:w="835" w:type="dxa"/>
            <w:tcBorders>
              <w:top w:val="single" w:sz="5" w:space="0" w:color="000000"/>
              <w:left w:val="single" w:sz="5" w:space="0" w:color="000000"/>
              <w:bottom w:val="none" w:sz="0" w:space="0" w:color="000000"/>
              <w:right w:val="single" w:sz="5" w:space="0" w:color="000000"/>
            </w:tcBorders>
            <w:vAlign w:val="center"/>
          </w:tcPr>
          <w:p w:rsidR="0068699A" w:rsidRDefault="00584FE2" w:rsidP="00584FE2">
            <w:pPr>
              <w:tabs>
                <w:tab w:val="left" w:pos="144"/>
              </w:tabs>
              <w:spacing w:line="263" w:lineRule="exact"/>
              <w:ind w:right="187"/>
              <w:textAlignment w:val="baseline"/>
              <w:rPr>
                <w:rFonts w:eastAsia="Times New Roman"/>
                <w:b/>
                <w:color w:val="000000"/>
                <w:sz w:val="24"/>
              </w:rPr>
            </w:pPr>
            <w:r>
              <w:rPr>
                <w:rFonts w:eastAsia="Times New Roman"/>
                <w:b/>
                <w:color w:val="000000"/>
                <w:sz w:val="24"/>
              </w:rPr>
              <w:t>6.</w:t>
            </w:r>
          </w:p>
        </w:tc>
        <w:tc>
          <w:tcPr>
            <w:tcW w:w="1618" w:type="dxa"/>
            <w:tcBorders>
              <w:top w:val="single" w:sz="5" w:space="0" w:color="000000"/>
              <w:left w:val="single" w:sz="5" w:space="0" w:color="000000"/>
              <w:bottom w:val="none" w:sz="0" w:space="0" w:color="000000"/>
              <w:right w:val="single" w:sz="5" w:space="0" w:color="000000"/>
            </w:tcBorders>
            <w:vAlign w:val="center"/>
          </w:tcPr>
          <w:p w:rsidR="0068699A" w:rsidRDefault="002D0F9A" w:rsidP="0068699A">
            <w:pPr>
              <w:spacing w:line="263" w:lineRule="exact"/>
              <w:ind w:left="110"/>
              <w:textAlignment w:val="baseline"/>
              <w:rPr>
                <w:rFonts w:eastAsia="Times New Roman"/>
                <w:b/>
                <w:color w:val="000000"/>
                <w:sz w:val="24"/>
              </w:rPr>
            </w:pPr>
            <w:r>
              <w:rPr>
                <w:rFonts w:eastAsia="Times New Roman"/>
                <w:b/>
                <w:color w:val="000000"/>
                <w:sz w:val="24"/>
              </w:rPr>
              <w:t>3:45 -4</w:t>
            </w:r>
            <w:bookmarkStart w:id="0" w:name="_GoBack"/>
            <w:bookmarkEnd w:id="0"/>
            <w:r w:rsidR="0068699A">
              <w:rPr>
                <w:rFonts w:eastAsia="Times New Roman"/>
                <w:b/>
                <w:color w:val="000000"/>
                <w:sz w:val="24"/>
              </w:rPr>
              <w:t>:30</w:t>
            </w:r>
          </w:p>
        </w:tc>
        <w:tc>
          <w:tcPr>
            <w:tcW w:w="7132" w:type="dxa"/>
            <w:tcBorders>
              <w:top w:val="single" w:sz="5" w:space="0" w:color="000000"/>
              <w:left w:val="single" w:sz="5" w:space="0" w:color="000000"/>
              <w:bottom w:val="none" w:sz="0" w:space="0" w:color="000000"/>
              <w:right w:val="single" w:sz="5" w:space="0" w:color="000000"/>
            </w:tcBorders>
            <w:vAlign w:val="center"/>
          </w:tcPr>
          <w:p w:rsidR="0068699A" w:rsidRDefault="0068699A" w:rsidP="0068699A">
            <w:pPr>
              <w:spacing w:line="263" w:lineRule="exact"/>
              <w:ind w:left="110"/>
              <w:textAlignment w:val="baseline"/>
              <w:rPr>
                <w:rFonts w:eastAsia="Times New Roman"/>
                <w:b/>
                <w:color w:val="000000"/>
                <w:sz w:val="24"/>
              </w:rPr>
            </w:pPr>
            <w:r>
              <w:rPr>
                <w:rFonts w:eastAsia="Times New Roman"/>
                <w:b/>
                <w:color w:val="000000"/>
                <w:sz w:val="24"/>
              </w:rPr>
              <w:t>Next Steps and Other Issues</w:t>
            </w:r>
          </w:p>
        </w:tc>
      </w:tr>
      <w:tr w:rsidR="0068699A">
        <w:trPr>
          <w:trHeight w:hRule="exact" w:val="283"/>
        </w:trPr>
        <w:tc>
          <w:tcPr>
            <w:tcW w:w="835" w:type="dxa"/>
            <w:tcBorders>
              <w:top w:val="none" w:sz="0" w:space="0" w:color="000000"/>
              <w:left w:val="single" w:sz="5" w:space="0" w:color="000000"/>
              <w:bottom w:val="single" w:sz="5" w:space="0" w:color="000000"/>
              <w:right w:val="single" w:sz="5" w:space="0" w:color="000000"/>
            </w:tcBorders>
          </w:tcPr>
          <w:p w:rsidR="0068699A" w:rsidRDefault="0068699A" w:rsidP="0068699A">
            <w:pPr>
              <w:textAlignment w:val="baseline"/>
              <w:rPr>
                <w:rFonts w:ascii="Garamond" w:eastAsia="Garamond" w:hAnsi="Garamond"/>
                <w:color w:val="000000"/>
                <w:sz w:val="24"/>
              </w:rPr>
            </w:pPr>
          </w:p>
        </w:tc>
        <w:tc>
          <w:tcPr>
            <w:tcW w:w="1618" w:type="dxa"/>
            <w:tcBorders>
              <w:top w:val="none" w:sz="0" w:space="0" w:color="000000"/>
              <w:left w:val="single" w:sz="5" w:space="0" w:color="000000"/>
              <w:bottom w:val="single" w:sz="5" w:space="0" w:color="000000"/>
              <w:right w:val="single" w:sz="5" w:space="0" w:color="000000"/>
            </w:tcBorders>
            <w:vAlign w:val="center"/>
          </w:tcPr>
          <w:p w:rsidR="0068699A" w:rsidRDefault="002D0F9A" w:rsidP="0068699A">
            <w:pPr>
              <w:spacing w:line="264" w:lineRule="exact"/>
              <w:ind w:left="110"/>
              <w:textAlignment w:val="baseline"/>
              <w:rPr>
                <w:rFonts w:eastAsia="Times New Roman"/>
                <w:b/>
                <w:color w:val="000000"/>
                <w:sz w:val="24"/>
              </w:rPr>
            </w:pPr>
            <w:r>
              <w:rPr>
                <w:rFonts w:eastAsia="Times New Roman"/>
                <w:b/>
                <w:color w:val="000000"/>
                <w:sz w:val="24"/>
              </w:rPr>
              <w:t>p</w:t>
            </w:r>
            <w:r w:rsidR="0068699A">
              <w:rPr>
                <w:rFonts w:eastAsia="Times New Roman"/>
                <w:b/>
                <w:color w:val="000000"/>
                <w:sz w:val="24"/>
              </w:rPr>
              <w:t>.m.</w:t>
            </w:r>
          </w:p>
        </w:tc>
        <w:tc>
          <w:tcPr>
            <w:tcW w:w="7132" w:type="dxa"/>
            <w:tcBorders>
              <w:top w:val="none" w:sz="0" w:space="0" w:color="000000"/>
              <w:left w:val="single" w:sz="5" w:space="0" w:color="000000"/>
              <w:bottom w:val="single" w:sz="5" w:space="0" w:color="000000"/>
              <w:right w:val="single" w:sz="5" w:space="0" w:color="000000"/>
            </w:tcBorders>
          </w:tcPr>
          <w:p w:rsidR="0068699A" w:rsidRDefault="0068699A" w:rsidP="0068699A">
            <w:pPr>
              <w:textAlignment w:val="baseline"/>
              <w:rPr>
                <w:rFonts w:ascii="Garamond" w:eastAsia="Garamond" w:hAnsi="Garamond"/>
                <w:color w:val="000000"/>
                <w:sz w:val="24"/>
              </w:rPr>
            </w:pPr>
          </w:p>
        </w:tc>
      </w:tr>
    </w:tbl>
    <w:p w:rsidR="00402285" w:rsidRDefault="00402285">
      <w:pPr>
        <w:spacing w:before="11" w:line="139" w:lineRule="exact"/>
        <w:textAlignment w:val="baseline"/>
        <w:rPr>
          <w:rFonts w:eastAsia="Times New Roman"/>
          <w:color w:val="000000"/>
          <w:sz w:val="12"/>
        </w:rPr>
      </w:pPr>
    </w:p>
    <w:p w:rsidR="00402285" w:rsidRDefault="00402285">
      <w:pPr>
        <w:spacing w:before="11" w:line="139" w:lineRule="exact"/>
        <w:textAlignment w:val="baseline"/>
        <w:rPr>
          <w:rFonts w:eastAsia="Times New Roman"/>
          <w:color w:val="000000"/>
          <w:sz w:val="12"/>
        </w:rPr>
      </w:pPr>
    </w:p>
    <w:p w:rsidR="00402285" w:rsidRDefault="00402285">
      <w:pPr>
        <w:spacing w:before="11" w:line="139" w:lineRule="exact"/>
        <w:textAlignment w:val="baseline"/>
        <w:rPr>
          <w:rFonts w:eastAsia="Times New Roman"/>
          <w:color w:val="000000"/>
          <w:sz w:val="12"/>
        </w:rPr>
      </w:pPr>
    </w:p>
    <w:p w:rsidR="00402285" w:rsidRDefault="00402285">
      <w:pPr>
        <w:spacing w:before="11" w:line="139" w:lineRule="exact"/>
        <w:textAlignment w:val="baseline"/>
        <w:rPr>
          <w:rFonts w:eastAsia="Times New Roman"/>
          <w:color w:val="000000"/>
          <w:sz w:val="12"/>
        </w:rPr>
      </w:pPr>
    </w:p>
    <w:p w:rsidR="00402285" w:rsidRDefault="00402285">
      <w:pPr>
        <w:spacing w:before="11" w:line="139" w:lineRule="exact"/>
        <w:textAlignment w:val="baseline"/>
        <w:rPr>
          <w:rFonts w:eastAsia="Times New Roman"/>
          <w:color w:val="000000"/>
          <w:sz w:val="12"/>
        </w:rPr>
      </w:pPr>
    </w:p>
    <w:p w:rsidR="00402285" w:rsidRDefault="00402285">
      <w:pPr>
        <w:spacing w:before="11" w:line="139" w:lineRule="exact"/>
        <w:textAlignment w:val="baseline"/>
        <w:rPr>
          <w:rFonts w:eastAsia="Times New Roman"/>
          <w:color w:val="000000"/>
          <w:sz w:val="12"/>
        </w:rPr>
      </w:pPr>
    </w:p>
    <w:p w:rsidR="00402285" w:rsidRDefault="00402285">
      <w:pPr>
        <w:spacing w:before="11" w:line="139" w:lineRule="exact"/>
        <w:textAlignment w:val="baseline"/>
        <w:rPr>
          <w:rFonts w:eastAsia="Times New Roman"/>
          <w:color w:val="000000"/>
          <w:sz w:val="12"/>
        </w:rPr>
      </w:pPr>
    </w:p>
    <w:p w:rsidR="00402285" w:rsidRDefault="00402285">
      <w:pPr>
        <w:spacing w:before="11" w:line="139" w:lineRule="exact"/>
        <w:textAlignment w:val="baseline"/>
        <w:rPr>
          <w:rFonts w:eastAsia="Times New Roman"/>
          <w:color w:val="000000"/>
          <w:sz w:val="12"/>
        </w:rPr>
      </w:pPr>
    </w:p>
    <w:p w:rsidR="00402285" w:rsidRDefault="00402285">
      <w:pPr>
        <w:spacing w:before="11" w:line="139" w:lineRule="exact"/>
        <w:textAlignment w:val="baseline"/>
        <w:rPr>
          <w:rFonts w:eastAsia="Times New Roman"/>
          <w:color w:val="000000"/>
          <w:sz w:val="12"/>
        </w:rPr>
      </w:pPr>
    </w:p>
    <w:p w:rsidR="00402285" w:rsidRDefault="00402285">
      <w:pPr>
        <w:spacing w:before="11" w:line="139" w:lineRule="exact"/>
        <w:textAlignment w:val="baseline"/>
        <w:rPr>
          <w:rFonts w:eastAsia="Times New Roman"/>
          <w:color w:val="000000"/>
          <w:sz w:val="12"/>
        </w:rPr>
      </w:pPr>
    </w:p>
    <w:p w:rsidR="00402285" w:rsidRDefault="00402285">
      <w:pPr>
        <w:spacing w:before="11" w:line="139" w:lineRule="exact"/>
        <w:textAlignment w:val="baseline"/>
        <w:rPr>
          <w:rFonts w:eastAsia="Times New Roman"/>
          <w:color w:val="000000"/>
          <w:sz w:val="12"/>
        </w:rPr>
      </w:pPr>
    </w:p>
    <w:p w:rsidR="00402285" w:rsidRPr="00402285" w:rsidRDefault="00402285" w:rsidP="00402285">
      <w:pPr>
        <w:ind w:left="1080" w:hanging="360"/>
        <w:outlineLvl w:val="2"/>
        <w:rPr>
          <w:rFonts w:ascii="Arial" w:eastAsia="Times New Roman" w:hAnsi="Arial" w:cs="Arial"/>
          <w:b/>
          <w:sz w:val="24"/>
          <w:szCs w:val="24"/>
        </w:rPr>
      </w:pPr>
      <w:bookmarkStart w:id="1" w:name="_Toc387149976"/>
      <w:bookmarkStart w:id="2" w:name="_Toc381691047"/>
      <w:bookmarkStart w:id="3" w:name="_Toc381692853"/>
      <w:bookmarkStart w:id="4" w:name="_Toc381831070"/>
      <w:bookmarkStart w:id="5" w:name="_Toc381865465"/>
      <w:bookmarkStart w:id="6" w:name="_Toc383767272"/>
      <w:bookmarkStart w:id="7" w:name="_Toc384037392"/>
      <w:bookmarkStart w:id="8" w:name="_Toc384424374"/>
      <w:r w:rsidRPr="00402285">
        <w:rPr>
          <w:rFonts w:ascii="Arial" w:eastAsia="Times New Roman" w:hAnsi="Arial" w:cs="Arial"/>
          <w:b/>
          <w:sz w:val="24"/>
          <w:szCs w:val="24"/>
        </w:rPr>
        <w:lastRenderedPageBreak/>
        <w:t>Wildlife mitigation</w:t>
      </w:r>
      <w:bookmarkEnd w:id="1"/>
      <w:r w:rsidRPr="00402285">
        <w:rPr>
          <w:rFonts w:ascii="Arial" w:eastAsia="Times New Roman" w:hAnsi="Arial" w:cs="Arial"/>
          <w:b/>
          <w:sz w:val="24"/>
          <w:szCs w:val="24"/>
        </w:rPr>
        <w:t xml:space="preserve"> </w:t>
      </w:r>
      <w:bookmarkEnd w:id="2"/>
      <w:bookmarkEnd w:id="3"/>
      <w:bookmarkEnd w:id="4"/>
      <w:bookmarkEnd w:id="5"/>
      <w:bookmarkEnd w:id="6"/>
      <w:bookmarkEnd w:id="7"/>
      <w:bookmarkEnd w:id="8"/>
      <w:r w:rsidRPr="00402285">
        <w:rPr>
          <w:rFonts w:ascii="Arial" w:eastAsia="Times New Roman" w:hAnsi="Arial" w:cs="Arial"/>
          <w:b/>
          <w:sz w:val="24"/>
          <w:szCs w:val="24"/>
        </w:rPr>
        <w:t>Section – Draft Fish &amp; Wildlife Program (See yellow highlights on HEP)</w:t>
      </w:r>
    </w:p>
    <w:p w:rsidR="00402285" w:rsidRPr="00402285" w:rsidRDefault="00402285" w:rsidP="00402285">
      <w:pPr>
        <w:rPr>
          <w:rFonts w:ascii="Arial" w:eastAsia="Times New Roman" w:hAnsi="Arial" w:cs="Arial"/>
          <w:b/>
          <w:sz w:val="24"/>
          <w:szCs w:val="24"/>
        </w:rPr>
      </w:pPr>
    </w:p>
    <w:p w:rsidR="00402285" w:rsidRPr="00402285" w:rsidRDefault="00402285" w:rsidP="00402285">
      <w:pPr>
        <w:rPr>
          <w:rFonts w:ascii="Arial" w:eastAsia="Times New Roman" w:hAnsi="Arial" w:cs="Arial"/>
          <w:b/>
          <w:sz w:val="24"/>
          <w:szCs w:val="24"/>
        </w:rPr>
      </w:pPr>
      <w:r w:rsidRPr="00402285">
        <w:rPr>
          <w:rFonts w:ascii="Arial" w:eastAsia="Times New Roman" w:hAnsi="Arial" w:cs="Arial"/>
          <w:b/>
          <w:sz w:val="24"/>
          <w:szCs w:val="24"/>
        </w:rPr>
        <w:t>Sub-strategy</w:t>
      </w:r>
    </w:p>
    <w:p w:rsidR="00402285" w:rsidRPr="00402285" w:rsidRDefault="00402285" w:rsidP="00402285">
      <w:pPr>
        <w:rPr>
          <w:rFonts w:ascii="Arial" w:eastAsia="Times New Roman" w:hAnsi="Arial" w:cs="Arial"/>
          <w:sz w:val="24"/>
          <w:szCs w:val="24"/>
        </w:rPr>
      </w:pPr>
      <w:r w:rsidRPr="00402285">
        <w:rPr>
          <w:rFonts w:ascii="Arial" w:eastAsia="Times New Roman" w:hAnsi="Arial" w:cs="Arial"/>
          <w:sz w:val="24"/>
          <w:szCs w:val="24"/>
        </w:rPr>
        <w:t>Mitigate wildlife losses caused by the development and operation of hydropower dams in the Columbia River Basin.</w:t>
      </w:r>
    </w:p>
    <w:p w:rsidR="00402285" w:rsidRPr="00402285" w:rsidRDefault="00402285" w:rsidP="00402285">
      <w:pPr>
        <w:rPr>
          <w:rFonts w:ascii="Arial" w:eastAsia="Times New Roman" w:hAnsi="Arial" w:cs="Arial"/>
          <w:b/>
          <w:sz w:val="24"/>
          <w:szCs w:val="24"/>
          <w:u w:val="single"/>
        </w:rPr>
      </w:pPr>
    </w:p>
    <w:p w:rsidR="00402285" w:rsidRPr="00402285" w:rsidRDefault="00402285" w:rsidP="00402285">
      <w:pPr>
        <w:rPr>
          <w:rFonts w:ascii="Arial" w:eastAsia="Times New Roman" w:hAnsi="Arial" w:cs="Arial"/>
          <w:b/>
          <w:sz w:val="24"/>
          <w:szCs w:val="24"/>
        </w:rPr>
      </w:pPr>
      <w:r w:rsidRPr="00402285">
        <w:rPr>
          <w:rFonts w:ascii="Arial" w:eastAsia="Times New Roman" w:hAnsi="Arial" w:cs="Arial"/>
          <w:b/>
          <w:sz w:val="24"/>
          <w:szCs w:val="24"/>
        </w:rPr>
        <w:t>Rationale</w:t>
      </w:r>
    </w:p>
    <w:p w:rsidR="00402285" w:rsidRPr="00402285" w:rsidRDefault="00402285" w:rsidP="00402285">
      <w:pPr>
        <w:rPr>
          <w:rFonts w:ascii="Arial" w:eastAsia="Times New Roman" w:hAnsi="Arial" w:cs="Arial"/>
          <w:sz w:val="24"/>
          <w:szCs w:val="24"/>
        </w:rPr>
      </w:pPr>
      <w:r w:rsidRPr="00402285">
        <w:rPr>
          <w:rFonts w:ascii="Arial" w:eastAsia="Times New Roman" w:hAnsi="Arial" w:cs="Arial"/>
          <w:sz w:val="24"/>
          <w:szCs w:val="24"/>
        </w:rPr>
        <w:t xml:space="preserve">Development and operation of the hydrosystem resulted in wildlife losses, </w:t>
      </w:r>
      <w:hyperlink w:anchor="opslos" w:history="1">
        <w:r w:rsidRPr="00402285">
          <w:rPr>
            <w:rFonts w:ascii="Arial" w:eastAsia="Times New Roman" w:hAnsi="Arial" w:cs="Arial"/>
            <w:color w:val="0000FF"/>
            <w:sz w:val="24"/>
            <w:szCs w:val="24"/>
            <w:u w:val="single"/>
          </w:rPr>
          <w:t>operational losses</w:t>
        </w:r>
      </w:hyperlink>
      <w:r w:rsidRPr="00402285">
        <w:rPr>
          <w:rFonts w:ascii="Arial" w:eastAsia="Times New Roman" w:hAnsi="Arial" w:cs="Arial"/>
          <w:sz w:val="24"/>
          <w:szCs w:val="24"/>
        </w:rPr>
        <w:t xml:space="preserve">, and </w:t>
      </w:r>
      <w:hyperlink w:anchor="seclos" w:history="1">
        <w:r w:rsidRPr="00402285">
          <w:rPr>
            <w:rFonts w:ascii="Arial" w:eastAsia="Times New Roman" w:hAnsi="Arial" w:cs="Arial"/>
            <w:color w:val="0000FF"/>
            <w:sz w:val="24"/>
            <w:szCs w:val="24"/>
            <w:u w:val="single"/>
          </w:rPr>
          <w:t>secondary losses</w:t>
        </w:r>
      </w:hyperlink>
      <w:r w:rsidRPr="00402285">
        <w:rPr>
          <w:rFonts w:ascii="Arial" w:eastAsia="Times New Roman" w:hAnsi="Arial" w:cs="Arial"/>
          <w:sz w:val="24"/>
          <w:szCs w:val="24"/>
        </w:rPr>
        <w:t xml:space="preserve">. The program includes measures and implements projects to acquire and protect the habitat units identified in the loss assessments </w:t>
      </w:r>
      <w:r w:rsidRPr="00402285">
        <w:rPr>
          <w:rFonts w:ascii="Arial" w:eastAsia="Times New Roman" w:hAnsi="Arial" w:cs="Arial"/>
          <w:szCs w:val="24"/>
        </w:rPr>
        <w:t>[</w:t>
      </w:r>
      <w:r w:rsidRPr="00402285">
        <w:rPr>
          <w:rFonts w:ascii="Arial" w:eastAsia="Times New Roman" w:hAnsi="Arial" w:cs="Arial"/>
          <w:sz w:val="24"/>
          <w:szCs w:val="24"/>
        </w:rPr>
        <w:t xml:space="preserve">see </w:t>
      </w:r>
      <w:hyperlink w:anchor="loss" w:history="1">
        <w:r w:rsidRPr="00402285">
          <w:rPr>
            <w:rFonts w:ascii="Arial" w:eastAsia="Times New Roman" w:hAnsi="Arial" w:cs="Arial"/>
            <w:color w:val="0000FF"/>
            <w:sz w:val="24"/>
            <w:szCs w:val="24"/>
            <w:u w:val="single"/>
          </w:rPr>
          <w:t>Appendix C-4</w:t>
        </w:r>
      </w:hyperlink>
      <w:r w:rsidRPr="00402285">
        <w:rPr>
          <w:rFonts w:ascii="Arial" w:eastAsia="Times New Roman" w:hAnsi="Arial" w:cs="Arial"/>
          <w:sz w:val="24"/>
          <w:szCs w:val="24"/>
        </w:rPr>
        <w:t>], as mitigation for construction and inundation losses. The program maintains a commitment to mitigate for operational and secondary losses that have not been estimated or addressed. However, where operational or secondary losses already have been addressed in an existing wildlife mitigation agreement, the terms of that agreement will apply.</w:t>
      </w:r>
    </w:p>
    <w:p w:rsidR="00402285" w:rsidRPr="00402285" w:rsidRDefault="00402285" w:rsidP="00402285">
      <w:pPr>
        <w:rPr>
          <w:rFonts w:ascii="Arial" w:eastAsia="Times New Roman" w:hAnsi="Arial" w:cs="Arial"/>
          <w:sz w:val="24"/>
          <w:szCs w:val="24"/>
        </w:rPr>
      </w:pPr>
    </w:p>
    <w:p w:rsidR="00402285" w:rsidRPr="00402285" w:rsidRDefault="00402285" w:rsidP="00402285">
      <w:pPr>
        <w:rPr>
          <w:rFonts w:ascii="Arial" w:eastAsia="Times New Roman" w:hAnsi="Arial" w:cs="Arial"/>
          <w:b/>
          <w:sz w:val="24"/>
          <w:szCs w:val="24"/>
        </w:rPr>
      </w:pPr>
      <w:r w:rsidRPr="00402285">
        <w:rPr>
          <w:rFonts w:ascii="Arial" w:eastAsia="Times New Roman" w:hAnsi="Arial" w:cs="Arial"/>
          <w:b/>
          <w:sz w:val="24"/>
          <w:szCs w:val="24"/>
        </w:rPr>
        <w:t>Principles</w:t>
      </w:r>
    </w:p>
    <w:p w:rsidR="00402285" w:rsidRPr="00402285" w:rsidRDefault="00402285" w:rsidP="00402285">
      <w:pPr>
        <w:numPr>
          <w:ilvl w:val="0"/>
          <w:numId w:val="7"/>
        </w:numPr>
        <w:spacing w:after="160" w:line="259" w:lineRule="auto"/>
        <w:ind w:left="360"/>
        <w:contextualSpacing/>
        <w:rPr>
          <w:rFonts w:ascii="Arial" w:eastAsia="Times New Roman" w:hAnsi="Arial" w:cs="Arial"/>
          <w:sz w:val="24"/>
          <w:szCs w:val="24"/>
        </w:rPr>
      </w:pPr>
      <w:r w:rsidRPr="00402285">
        <w:rPr>
          <w:rFonts w:ascii="Arial" w:eastAsia="Times New Roman" w:hAnsi="Arial" w:cs="Arial"/>
          <w:sz w:val="24"/>
          <w:szCs w:val="24"/>
        </w:rPr>
        <w:t>The extent of wildlife mitigation is of particular importance to agencies and tribes in blocked areas, where anadromous fish runs have been extirpated by development of the hydrosystem, and where full mitigation cannot be accomplished through resident fish substitution alone. Given the vision of this program, the strong scientific case for a more comprehensive, ecosystem-based approach, and the shift in focus to implementation through subbasin plans, the Council believes that wildlife mitigation projects should be integrated with the fish mitigation projects as much as possible and in some cases, where resident fish goals cannot be accomplished, wildlife mitigation may substitute for resident fish mitigation.</w:t>
      </w:r>
    </w:p>
    <w:p w:rsidR="00402285" w:rsidRPr="00402285" w:rsidRDefault="00402285" w:rsidP="00402285">
      <w:pPr>
        <w:numPr>
          <w:ilvl w:val="0"/>
          <w:numId w:val="7"/>
        </w:numPr>
        <w:spacing w:after="160" w:line="259" w:lineRule="auto"/>
        <w:ind w:left="360"/>
        <w:contextualSpacing/>
        <w:rPr>
          <w:rFonts w:ascii="Arial" w:eastAsia="Times New Roman" w:hAnsi="Arial" w:cs="Arial"/>
          <w:sz w:val="24"/>
          <w:szCs w:val="24"/>
        </w:rPr>
      </w:pPr>
      <w:r w:rsidRPr="00402285">
        <w:rPr>
          <w:rFonts w:ascii="Arial" w:eastAsia="Times New Roman" w:hAnsi="Arial" w:cs="Arial"/>
          <w:sz w:val="24"/>
          <w:szCs w:val="24"/>
        </w:rPr>
        <w:t>Wildlife mitigation should replace habitat units lost to hydropower dam development and operation. Beginning in the 2000 Program, the Council called for these mitigation agreements to equal 200 percent of the remaining habitat units (2:1 ratio). The Council chose the 2:1 crediting ratio to address the inability to precisely determine the habitat units resulting from acquiring an interest in property that already has wildlife value or the additional losses represented by annualization of the losses.</w:t>
      </w:r>
    </w:p>
    <w:p w:rsidR="00402285" w:rsidRPr="00402285" w:rsidRDefault="00402285" w:rsidP="00402285">
      <w:pPr>
        <w:numPr>
          <w:ilvl w:val="0"/>
          <w:numId w:val="7"/>
        </w:numPr>
        <w:spacing w:after="160" w:line="259" w:lineRule="auto"/>
        <w:ind w:left="360"/>
        <w:contextualSpacing/>
        <w:rPr>
          <w:rFonts w:ascii="Arial" w:eastAsia="Times New Roman" w:hAnsi="Arial" w:cs="Arial"/>
          <w:sz w:val="24"/>
          <w:szCs w:val="24"/>
        </w:rPr>
      </w:pPr>
      <w:r w:rsidRPr="00402285">
        <w:rPr>
          <w:rFonts w:ascii="Arial" w:eastAsia="Times New Roman" w:hAnsi="Arial" w:cs="Arial"/>
          <w:sz w:val="24"/>
          <w:szCs w:val="24"/>
        </w:rPr>
        <w:t xml:space="preserve">The Council adopted and continues to endorse the 2:1 crediting ratio for the remaining habitat units. However, when loss estimates appear inaccurate due to habitat unit stacking and those inaccuracies cannot be resolved through use of a different, cost-effective tool or approach recommended by the </w:t>
      </w:r>
      <w:hyperlink w:anchor="_Council_High_Level" w:history="1">
        <w:r w:rsidRPr="00402285">
          <w:rPr>
            <w:rFonts w:ascii="Arial" w:eastAsia="Times New Roman" w:hAnsi="Arial" w:cs="Arial"/>
            <w:color w:val="0000FF"/>
            <w:sz w:val="24"/>
            <w:szCs w:val="24"/>
            <w:u w:val="single"/>
          </w:rPr>
          <w:t>Wildlife Crediting Forum</w:t>
        </w:r>
      </w:hyperlink>
      <w:r w:rsidRPr="00402285">
        <w:rPr>
          <w:rFonts w:ascii="Arial" w:eastAsia="Times New Roman" w:hAnsi="Arial" w:cs="Arial"/>
          <w:sz w:val="24"/>
          <w:szCs w:val="24"/>
        </w:rPr>
        <w:t xml:space="preserve"> and approved by the Council, then the 2:1 ratio will not apply to the remaining stacked habitat units.</w:t>
      </w:r>
    </w:p>
    <w:p w:rsidR="00402285" w:rsidRPr="00402285" w:rsidRDefault="00402285" w:rsidP="00402285">
      <w:pPr>
        <w:numPr>
          <w:ilvl w:val="0"/>
          <w:numId w:val="7"/>
        </w:numPr>
        <w:spacing w:after="160" w:line="259" w:lineRule="auto"/>
        <w:ind w:left="360"/>
        <w:rPr>
          <w:rFonts w:ascii="Arial" w:eastAsia="Times New Roman" w:hAnsi="Arial" w:cs="Arial"/>
          <w:sz w:val="24"/>
          <w:szCs w:val="24"/>
        </w:rPr>
      </w:pPr>
      <w:r w:rsidRPr="00402285">
        <w:rPr>
          <w:rFonts w:ascii="Arial" w:eastAsia="Times New Roman" w:hAnsi="Arial" w:cs="Arial"/>
          <w:sz w:val="24"/>
          <w:szCs w:val="24"/>
        </w:rPr>
        <w:t>Mitigation agreements should be considered to settle operational losses in lieu of precise assessments of impacts.</w:t>
      </w:r>
    </w:p>
    <w:p w:rsidR="00402285" w:rsidRPr="00402285" w:rsidRDefault="00402285" w:rsidP="00402285">
      <w:pPr>
        <w:rPr>
          <w:rFonts w:ascii="Arial" w:eastAsia="Times New Roman" w:hAnsi="Arial" w:cs="Arial"/>
          <w:sz w:val="24"/>
          <w:szCs w:val="24"/>
        </w:rPr>
      </w:pPr>
    </w:p>
    <w:p w:rsidR="00402285" w:rsidRPr="00402285" w:rsidRDefault="00402285" w:rsidP="00402285">
      <w:pPr>
        <w:rPr>
          <w:rFonts w:ascii="Arial" w:eastAsia="Times New Roman" w:hAnsi="Arial" w:cs="Arial"/>
          <w:b/>
          <w:sz w:val="24"/>
          <w:szCs w:val="24"/>
        </w:rPr>
      </w:pPr>
      <w:r w:rsidRPr="00402285">
        <w:rPr>
          <w:rFonts w:ascii="Arial" w:eastAsia="Times New Roman" w:hAnsi="Arial" w:cs="Arial"/>
          <w:b/>
          <w:sz w:val="24"/>
          <w:szCs w:val="24"/>
        </w:rPr>
        <w:t xml:space="preserve">General measures </w:t>
      </w:r>
    </w:p>
    <w:p w:rsidR="00402285" w:rsidRPr="00402285" w:rsidRDefault="00402285" w:rsidP="00402285">
      <w:pPr>
        <w:numPr>
          <w:ilvl w:val="0"/>
          <w:numId w:val="3"/>
        </w:numPr>
        <w:spacing w:after="160" w:line="259" w:lineRule="auto"/>
        <w:ind w:left="360"/>
        <w:rPr>
          <w:rFonts w:ascii="Arial" w:eastAsia="Times New Roman" w:hAnsi="Arial" w:cs="Arial"/>
          <w:b/>
          <w:sz w:val="24"/>
          <w:szCs w:val="24"/>
          <w:u w:val="single"/>
        </w:rPr>
      </w:pPr>
      <w:r w:rsidRPr="00402285">
        <w:rPr>
          <w:rFonts w:ascii="Arial" w:eastAsia="Times New Roman" w:hAnsi="Arial" w:cs="Arial"/>
          <w:sz w:val="24"/>
          <w:szCs w:val="24"/>
        </w:rPr>
        <w:t>Where appropriate prioritization exists and agreements exist on the methodology, complete wildlife loss assessments for losses caused by operation of the hydropower projects</w:t>
      </w:r>
    </w:p>
    <w:p w:rsidR="00402285" w:rsidRPr="00402285" w:rsidRDefault="00402285" w:rsidP="00402285">
      <w:pPr>
        <w:numPr>
          <w:ilvl w:val="0"/>
          <w:numId w:val="3"/>
        </w:numPr>
        <w:spacing w:after="160" w:line="259" w:lineRule="auto"/>
        <w:ind w:left="360"/>
        <w:contextualSpacing/>
        <w:rPr>
          <w:rFonts w:ascii="Arial" w:eastAsia="Times New Roman" w:hAnsi="Arial" w:cs="Arial"/>
          <w:sz w:val="24"/>
          <w:szCs w:val="24"/>
        </w:rPr>
      </w:pPr>
      <w:r w:rsidRPr="00402285">
        <w:rPr>
          <w:rFonts w:ascii="Arial" w:eastAsia="Times New Roman" w:hAnsi="Arial" w:cs="Arial"/>
          <w:sz w:val="24"/>
          <w:szCs w:val="24"/>
        </w:rPr>
        <w:t>Develop and implement habitat acquisition and enhancement projects to fully mitigate for identified losses</w:t>
      </w:r>
    </w:p>
    <w:p w:rsidR="00402285" w:rsidRPr="00402285" w:rsidRDefault="00402285" w:rsidP="00402285">
      <w:pPr>
        <w:numPr>
          <w:ilvl w:val="0"/>
          <w:numId w:val="3"/>
        </w:numPr>
        <w:spacing w:after="160" w:line="259" w:lineRule="auto"/>
        <w:ind w:left="360"/>
        <w:contextualSpacing/>
        <w:rPr>
          <w:rFonts w:ascii="Arial" w:eastAsia="Times New Roman" w:hAnsi="Arial" w:cs="Arial"/>
          <w:sz w:val="24"/>
          <w:szCs w:val="24"/>
        </w:rPr>
      </w:pPr>
      <w:r w:rsidRPr="00402285">
        <w:rPr>
          <w:rFonts w:ascii="Arial" w:eastAsia="Times New Roman" w:hAnsi="Arial" w:cs="Arial"/>
          <w:sz w:val="24"/>
          <w:szCs w:val="24"/>
        </w:rPr>
        <w:lastRenderedPageBreak/>
        <w:t>Coordinate habitat restoration and acquisition activities throughout the basin with fish mitigation and restoration efforts to promote terrestrial and aquatic area connectivity</w:t>
      </w:r>
    </w:p>
    <w:p w:rsidR="00402285" w:rsidRPr="00402285" w:rsidRDefault="00402285" w:rsidP="00402285">
      <w:pPr>
        <w:numPr>
          <w:ilvl w:val="0"/>
          <w:numId w:val="3"/>
        </w:numPr>
        <w:spacing w:after="160" w:line="259" w:lineRule="auto"/>
        <w:ind w:left="360"/>
        <w:contextualSpacing/>
        <w:rPr>
          <w:rFonts w:ascii="Arial" w:eastAsia="Times New Roman" w:hAnsi="Arial" w:cs="Arial"/>
          <w:sz w:val="24"/>
          <w:szCs w:val="24"/>
        </w:rPr>
      </w:pPr>
      <w:r w:rsidRPr="00402285">
        <w:rPr>
          <w:rFonts w:ascii="Arial" w:eastAsia="Times New Roman" w:hAnsi="Arial" w:cs="Arial"/>
          <w:sz w:val="24"/>
          <w:szCs w:val="24"/>
        </w:rPr>
        <w:t>Maintain the values and characteristics of existing, restored, and created habitat</w:t>
      </w:r>
    </w:p>
    <w:p w:rsidR="00402285" w:rsidRPr="00402285" w:rsidRDefault="00402285" w:rsidP="00402285">
      <w:pPr>
        <w:numPr>
          <w:ilvl w:val="0"/>
          <w:numId w:val="3"/>
        </w:numPr>
        <w:spacing w:after="160" w:line="259" w:lineRule="auto"/>
        <w:ind w:left="360"/>
        <w:contextualSpacing/>
        <w:rPr>
          <w:rFonts w:ascii="Arial" w:eastAsia="Times New Roman" w:hAnsi="Arial" w:cs="Arial"/>
          <w:sz w:val="24"/>
          <w:szCs w:val="24"/>
        </w:rPr>
      </w:pPr>
      <w:r w:rsidRPr="00402285">
        <w:rPr>
          <w:rFonts w:ascii="Arial" w:eastAsia="Times New Roman" w:hAnsi="Arial" w:cs="Arial"/>
          <w:sz w:val="24"/>
          <w:szCs w:val="24"/>
        </w:rPr>
        <w:t>The Council encourages wildlife managers to monitor and evaluate habitat and species responses to mitigation actions</w:t>
      </w:r>
    </w:p>
    <w:p w:rsidR="00402285" w:rsidRPr="00402285" w:rsidRDefault="00402285" w:rsidP="00402285">
      <w:pPr>
        <w:numPr>
          <w:ilvl w:val="0"/>
          <w:numId w:val="3"/>
        </w:numPr>
        <w:spacing w:after="160" w:line="259" w:lineRule="auto"/>
        <w:ind w:left="360"/>
        <w:contextualSpacing/>
        <w:rPr>
          <w:rFonts w:ascii="Arial" w:eastAsia="Times New Roman" w:hAnsi="Arial" w:cs="Arial"/>
          <w:sz w:val="24"/>
          <w:szCs w:val="24"/>
        </w:rPr>
      </w:pPr>
      <w:r w:rsidRPr="00402285">
        <w:rPr>
          <w:rFonts w:ascii="Arial" w:eastAsia="Times New Roman" w:hAnsi="Arial" w:cs="Arial"/>
          <w:sz w:val="24"/>
          <w:szCs w:val="24"/>
        </w:rPr>
        <w:t xml:space="preserve">Bonneville and the fish and wildlife managers </w:t>
      </w:r>
      <w:r w:rsidRPr="00402285">
        <w:rPr>
          <w:rFonts w:ascii="Arial" w:eastAsia="Times New Roman" w:hAnsi="Arial" w:cs="Arial"/>
          <w:color w:val="000000"/>
          <w:sz w:val="24"/>
          <w:szCs w:val="24"/>
        </w:rPr>
        <w:t xml:space="preserve">shall </w:t>
      </w:r>
      <w:r w:rsidRPr="00402285">
        <w:rPr>
          <w:rFonts w:ascii="Arial" w:eastAsia="Times New Roman" w:hAnsi="Arial" w:cs="Arial"/>
          <w:sz w:val="24"/>
          <w:szCs w:val="24"/>
        </w:rPr>
        <w:t>complete wildlife loss mitigation agreements for at least the remaining construction and inundation losses by 2016. In addition, for each wildlife agreement that does not already provide for long-term maintenance of the habitat, Bonneville and the applicable management agency shall propose a management plan adequate to sustain the minimum credited habitat values for the life of the project.</w:t>
      </w:r>
    </w:p>
    <w:p w:rsidR="00402285" w:rsidRPr="00402285" w:rsidRDefault="00402285" w:rsidP="00402285">
      <w:pPr>
        <w:numPr>
          <w:ilvl w:val="0"/>
          <w:numId w:val="3"/>
        </w:numPr>
        <w:spacing w:after="160" w:line="259" w:lineRule="auto"/>
        <w:ind w:left="360"/>
        <w:rPr>
          <w:rFonts w:ascii="Arial" w:eastAsia="Times New Roman" w:hAnsi="Arial" w:cs="Arial"/>
          <w:sz w:val="24"/>
          <w:szCs w:val="24"/>
        </w:rPr>
      </w:pPr>
      <w:r w:rsidRPr="00402285">
        <w:rPr>
          <w:rFonts w:ascii="Arial" w:eastAsia="Times New Roman" w:hAnsi="Arial" w:cs="Arial"/>
          <w:sz w:val="24"/>
          <w:szCs w:val="24"/>
        </w:rPr>
        <w:t>Fish and wildlife managers and Bonneville shall reach agreement on how wildlife mitigation projects and fish mitigation projects should be credited toward identified losses</w:t>
      </w:r>
    </w:p>
    <w:p w:rsidR="00402285" w:rsidRPr="00402285" w:rsidRDefault="00402285" w:rsidP="00402285">
      <w:pPr>
        <w:rPr>
          <w:rFonts w:ascii="Arial" w:eastAsia="Times New Roman" w:hAnsi="Arial" w:cs="Arial"/>
          <w:b/>
          <w:sz w:val="24"/>
          <w:szCs w:val="24"/>
          <w:u w:val="single"/>
        </w:rPr>
      </w:pPr>
    </w:p>
    <w:p w:rsidR="00402285" w:rsidRPr="00402285" w:rsidRDefault="00402285" w:rsidP="00402285">
      <w:pPr>
        <w:rPr>
          <w:rFonts w:ascii="Arial" w:eastAsia="Times New Roman" w:hAnsi="Arial" w:cs="Arial"/>
          <w:b/>
          <w:sz w:val="24"/>
          <w:szCs w:val="24"/>
          <w:highlight w:val="yellow"/>
        </w:rPr>
      </w:pPr>
      <w:r w:rsidRPr="00402285">
        <w:rPr>
          <w:rFonts w:ascii="Arial" w:eastAsia="Times New Roman" w:hAnsi="Arial" w:cs="Arial"/>
          <w:b/>
          <w:sz w:val="24"/>
          <w:szCs w:val="24"/>
          <w:highlight w:val="yellow"/>
        </w:rPr>
        <w:t>Specific measures for habitat units:</w:t>
      </w:r>
    </w:p>
    <w:p w:rsidR="00402285" w:rsidRPr="00402285" w:rsidRDefault="00402285" w:rsidP="00402285">
      <w:pPr>
        <w:rPr>
          <w:rFonts w:ascii="Arial" w:eastAsia="Times New Roman" w:hAnsi="Arial" w:cs="Arial"/>
          <w:b/>
          <w:sz w:val="24"/>
          <w:szCs w:val="24"/>
          <w:highlight w:val="yellow"/>
        </w:rPr>
      </w:pPr>
      <w:r w:rsidRPr="00402285">
        <w:rPr>
          <w:rFonts w:ascii="Arial" w:eastAsia="Times New Roman" w:hAnsi="Arial" w:cs="Arial"/>
          <w:b/>
          <w:bCs/>
          <w:sz w:val="24"/>
          <w:szCs w:val="24"/>
          <w:highlight w:val="yellow"/>
        </w:rPr>
        <w:t>Habitat units and the habitat evaluation procedure (HEP) methodology</w:t>
      </w:r>
    </w:p>
    <w:p w:rsidR="00402285" w:rsidRPr="00402285" w:rsidRDefault="00402285" w:rsidP="00402285">
      <w:pPr>
        <w:rPr>
          <w:rFonts w:ascii="Arial" w:eastAsia="Times New Roman" w:hAnsi="Arial" w:cs="Arial"/>
          <w:sz w:val="24"/>
          <w:szCs w:val="24"/>
          <w:highlight w:val="yellow"/>
        </w:rPr>
      </w:pPr>
      <w:r w:rsidRPr="00402285">
        <w:rPr>
          <w:rFonts w:ascii="Arial" w:eastAsia="Times New Roman" w:hAnsi="Arial" w:cs="Arial"/>
          <w:sz w:val="24"/>
          <w:szCs w:val="24"/>
          <w:highlight w:val="yellow"/>
        </w:rPr>
        <w:t xml:space="preserve">The Council </w:t>
      </w:r>
      <w:r w:rsidRPr="00402285">
        <w:rPr>
          <w:rFonts w:ascii="Arial" w:eastAsia="Times New Roman" w:hAnsi="Arial" w:cs="Arial"/>
          <w:color w:val="000000"/>
          <w:sz w:val="24"/>
          <w:szCs w:val="24"/>
          <w:highlight w:val="yellow"/>
        </w:rPr>
        <w:t xml:space="preserve">shall </w:t>
      </w:r>
      <w:r w:rsidRPr="00402285">
        <w:rPr>
          <w:rFonts w:ascii="Arial" w:eastAsia="Times New Roman" w:hAnsi="Arial" w:cs="Arial"/>
          <w:sz w:val="24"/>
          <w:szCs w:val="24"/>
          <w:highlight w:val="yellow"/>
        </w:rPr>
        <w:t>continue to endorse habitat units as the preferred unit of measurement for mitigation accounting and the Habitat Evaluation Procedure methodology as the preferred method for estimating habitat units lost and acquired. Parties to a wildlife mitigation agreement may develop and use another method for evaluating potential mitigation actions if, in the Council’s opinion, that alternative method adequately takes into account both habitat quantity and quality adequate to mitigate for the identified losses.</w:t>
      </w:r>
    </w:p>
    <w:p w:rsidR="00402285" w:rsidRPr="00402285" w:rsidRDefault="00402285" w:rsidP="00402285">
      <w:pPr>
        <w:rPr>
          <w:rFonts w:ascii="Arial" w:eastAsia="Times New Roman" w:hAnsi="Arial" w:cs="Arial"/>
          <w:b/>
          <w:bCs/>
          <w:sz w:val="24"/>
          <w:szCs w:val="24"/>
          <w:highlight w:val="yellow"/>
        </w:rPr>
      </w:pPr>
    </w:p>
    <w:p w:rsidR="00402285" w:rsidRPr="00402285" w:rsidRDefault="00402285" w:rsidP="00402285">
      <w:pPr>
        <w:rPr>
          <w:rFonts w:ascii="Arial" w:eastAsia="Times New Roman" w:hAnsi="Arial" w:cs="Arial"/>
          <w:sz w:val="24"/>
          <w:szCs w:val="24"/>
          <w:highlight w:val="yellow"/>
        </w:rPr>
      </w:pPr>
      <w:r w:rsidRPr="00402285">
        <w:rPr>
          <w:rFonts w:ascii="Arial" w:eastAsia="Times New Roman" w:hAnsi="Arial" w:cs="Arial"/>
          <w:b/>
          <w:bCs/>
          <w:sz w:val="24"/>
          <w:szCs w:val="24"/>
          <w:highlight w:val="yellow"/>
        </w:rPr>
        <w:t xml:space="preserve">Allocation of habitat units </w:t>
      </w:r>
    </w:p>
    <w:p w:rsidR="00402285" w:rsidRPr="00402285" w:rsidRDefault="00402285" w:rsidP="00402285">
      <w:pPr>
        <w:rPr>
          <w:rFonts w:ascii="Arial" w:eastAsia="Times New Roman" w:hAnsi="Arial" w:cs="Arial"/>
          <w:sz w:val="24"/>
          <w:szCs w:val="24"/>
          <w:highlight w:val="yellow"/>
        </w:rPr>
      </w:pPr>
      <w:r w:rsidRPr="00402285">
        <w:rPr>
          <w:rFonts w:ascii="Arial" w:eastAsia="Times New Roman" w:hAnsi="Arial" w:cs="Arial"/>
          <w:sz w:val="24"/>
          <w:szCs w:val="24"/>
          <w:highlight w:val="yellow"/>
        </w:rPr>
        <w:t xml:space="preserve">Habitat acquired as mitigation for lost habitat units identified in Table C-4 </w:t>
      </w:r>
      <w:r w:rsidRPr="00402285">
        <w:rPr>
          <w:rFonts w:ascii="Arial" w:eastAsia="Times New Roman" w:hAnsi="Arial" w:cs="Arial"/>
          <w:color w:val="000000"/>
          <w:sz w:val="24"/>
          <w:szCs w:val="24"/>
          <w:highlight w:val="yellow"/>
        </w:rPr>
        <w:t xml:space="preserve">shall </w:t>
      </w:r>
      <w:r w:rsidRPr="00402285">
        <w:rPr>
          <w:rFonts w:ascii="Arial" w:eastAsia="Times New Roman" w:hAnsi="Arial" w:cs="Arial"/>
          <w:sz w:val="24"/>
          <w:szCs w:val="24"/>
          <w:highlight w:val="yellow"/>
        </w:rPr>
        <w:t>be acquired in the subbasin in which the lost units were located unless otherwise agreed by the fish and wildlife agencies and tribes in that subbasin.</w:t>
      </w:r>
    </w:p>
    <w:p w:rsidR="00402285" w:rsidRPr="00402285" w:rsidRDefault="00402285" w:rsidP="00402285">
      <w:pPr>
        <w:rPr>
          <w:rFonts w:ascii="Arial" w:eastAsia="Times New Roman" w:hAnsi="Arial" w:cs="Arial"/>
          <w:b/>
          <w:bCs/>
          <w:sz w:val="24"/>
          <w:szCs w:val="24"/>
          <w:highlight w:val="yellow"/>
        </w:rPr>
      </w:pPr>
    </w:p>
    <w:p w:rsidR="00402285" w:rsidRPr="00402285" w:rsidRDefault="00402285" w:rsidP="00402285">
      <w:pPr>
        <w:rPr>
          <w:rFonts w:ascii="Arial" w:eastAsia="Times New Roman" w:hAnsi="Arial" w:cs="Arial"/>
          <w:sz w:val="24"/>
          <w:szCs w:val="24"/>
          <w:highlight w:val="yellow"/>
        </w:rPr>
      </w:pPr>
      <w:r w:rsidRPr="00402285">
        <w:rPr>
          <w:rFonts w:ascii="Arial" w:eastAsia="Times New Roman" w:hAnsi="Arial" w:cs="Arial"/>
          <w:b/>
          <w:bCs/>
          <w:sz w:val="24"/>
          <w:szCs w:val="24"/>
          <w:highlight w:val="yellow"/>
        </w:rPr>
        <w:t xml:space="preserve">Habitat enhancement credits </w:t>
      </w:r>
    </w:p>
    <w:p w:rsidR="00402285" w:rsidRPr="00402285" w:rsidRDefault="00402285" w:rsidP="00402285">
      <w:pPr>
        <w:rPr>
          <w:rFonts w:ascii="Arial" w:eastAsia="Times New Roman" w:hAnsi="Arial" w:cs="Arial"/>
          <w:sz w:val="24"/>
          <w:szCs w:val="24"/>
        </w:rPr>
      </w:pPr>
      <w:r w:rsidRPr="00402285">
        <w:rPr>
          <w:rFonts w:ascii="Arial" w:eastAsia="Times New Roman" w:hAnsi="Arial" w:cs="Arial"/>
          <w:sz w:val="24"/>
          <w:szCs w:val="24"/>
          <w:highlight w:val="yellow"/>
        </w:rPr>
        <w:t xml:space="preserve">Habitat enhancement credits should be provided to Bonneville when habitat management activities funded by Bonneville lead to a net increase in habitat value when compared to the level identified in the baseline habitat inventory and subsequent habitat inventories. This determination </w:t>
      </w:r>
      <w:r w:rsidRPr="00402285">
        <w:rPr>
          <w:rFonts w:ascii="Arial" w:eastAsia="Times New Roman" w:hAnsi="Arial" w:cs="Arial"/>
          <w:color w:val="000000"/>
          <w:sz w:val="24"/>
          <w:szCs w:val="24"/>
          <w:highlight w:val="yellow"/>
        </w:rPr>
        <w:t xml:space="preserve">shall </w:t>
      </w:r>
      <w:r w:rsidRPr="00402285">
        <w:rPr>
          <w:rFonts w:ascii="Arial" w:eastAsia="Times New Roman" w:hAnsi="Arial" w:cs="Arial"/>
          <w:sz w:val="24"/>
          <w:szCs w:val="24"/>
          <w:highlight w:val="yellow"/>
        </w:rPr>
        <w:t xml:space="preserve">be made through the periodic monitoring of the project site using the Habitat Evaluation Procedure methodology. Bonneville </w:t>
      </w:r>
      <w:r w:rsidRPr="00402285">
        <w:rPr>
          <w:rFonts w:ascii="Arial" w:eastAsia="Times New Roman" w:hAnsi="Arial" w:cs="Arial"/>
          <w:color w:val="000000"/>
          <w:sz w:val="24"/>
          <w:szCs w:val="24"/>
          <w:highlight w:val="yellow"/>
        </w:rPr>
        <w:t xml:space="preserve">shall </w:t>
      </w:r>
      <w:r w:rsidRPr="00402285">
        <w:rPr>
          <w:rFonts w:ascii="Arial" w:eastAsia="Times New Roman" w:hAnsi="Arial" w:cs="Arial"/>
          <w:sz w:val="24"/>
          <w:szCs w:val="24"/>
          <w:highlight w:val="yellow"/>
        </w:rPr>
        <w:t>be credited for habitat enhancement efforts at a ratio of one habitat unit credited for every habitat unit gained.</w:t>
      </w:r>
    </w:p>
    <w:p w:rsidR="00402285" w:rsidRPr="00402285" w:rsidRDefault="00402285" w:rsidP="00402285">
      <w:pPr>
        <w:rPr>
          <w:rFonts w:ascii="Arial" w:eastAsia="Times New Roman" w:hAnsi="Arial" w:cs="Arial"/>
          <w:b/>
          <w:sz w:val="24"/>
          <w:szCs w:val="24"/>
        </w:rPr>
      </w:pPr>
    </w:p>
    <w:p w:rsidR="00402285" w:rsidRPr="00402285" w:rsidRDefault="00402285" w:rsidP="00402285">
      <w:pPr>
        <w:rPr>
          <w:rFonts w:ascii="Arial" w:eastAsia="Times New Roman" w:hAnsi="Arial" w:cs="Arial"/>
          <w:b/>
          <w:sz w:val="24"/>
          <w:szCs w:val="24"/>
        </w:rPr>
      </w:pPr>
      <w:r w:rsidRPr="00402285">
        <w:rPr>
          <w:rFonts w:ascii="Arial" w:eastAsia="Times New Roman" w:hAnsi="Arial" w:cs="Arial"/>
          <w:b/>
          <w:sz w:val="24"/>
          <w:szCs w:val="24"/>
        </w:rPr>
        <w:t>Long-term agreements</w:t>
      </w:r>
    </w:p>
    <w:p w:rsidR="00402285" w:rsidRPr="00402285" w:rsidRDefault="00402285" w:rsidP="00402285">
      <w:pPr>
        <w:rPr>
          <w:rFonts w:ascii="Arial" w:eastAsia="Times New Roman" w:hAnsi="Arial" w:cs="Arial"/>
          <w:sz w:val="24"/>
          <w:szCs w:val="24"/>
        </w:rPr>
      </w:pPr>
      <w:r w:rsidRPr="00402285">
        <w:rPr>
          <w:rFonts w:ascii="Arial" w:eastAsia="Times New Roman" w:hAnsi="Arial" w:cs="Arial"/>
          <w:sz w:val="24"/>
          <w:szCs w:val="24"/>
        </w:rPr>
        <w:t xml:space="preserve">Whenever possible, wildlife mitigation </w:t>
      </w:r>
      <w:r w:rsidRPr="00402285">
        <w:rPr>
          <w:rFonts w:ascii="Arial" w:eastAsia="Times New Roman" w:hAnsi="Arial" w:cs="Arial"/>
          <w:color w:val="000000"/>
          <w:sz w:val="24"/>
          <w:szCs w:val="24"/>
        </w:rPr>
        <w:t xml:space="preserve">shall </w:t>
      </w:r>
      <w:r w:rsidRPr="00402285">
        <w:rPr>
          <w:rFonts w:ascii="Arial" w:eastAsia="Times New Roman" w:hAnsi="Arial" w:cs="Arial"/>
          <w:sz w:val="24"/>
          <w:szCs w:val="24"/>
        </w:rPr>
        <w:t xml:space="preserve">take place through long-term agreements that have clear objectives, a plan for action over time, a committed level of funding that provides a substantial likelihood of achieving and sustaining the stated wildlife mitigation objectives, and provisions to ensure effective implementation with periodic monitoring and evaluation. Thus, wildlife mitigation agreements </w:t>
      </w:r>
      <w:r w:rsidRPr="00402285">
        <w:rPr>
          <w:rFonts w:ascii="Arial" w:eastAsia="Times New Roman" w:hAnsi="Arial" w:cs="Arial"/>
          <w:color w:val="000000"/>
          <w:sz w:val="24"/>
          <w:szCs w:val="24"/>
        </w:rPr>
        <w:t xml:space="preserve">shall </w:t>
      </w:r>
      <w:r w:rsidRPr="00402285">
        <w:rPr>
          <w:rFonts w:ascii="Arial" w:eastAsia="Times New Roman" w:hAnsi="Arial" w:cs="Arial"/>
          <w:sz w:val="24"/>
          <w:szCs w:val="24"/>
        </w:rPr>
        <w:t>include the following elements:</w:t>
      </w:r>
    </w:p>
    <w:p w:rsidR="00402285" w:rsidRPr="00402285" w:rsidRDefault="00402285" w:rsidP="00402285">
      <w:pPr>
        <w:numPr>
          <w:ilvl w:val="0"/>
          <w:numId w:val="2"/>
        </w:numPr>
        <w:spacing w:after="160" w:line="259" w:lineRule="auto"/>
        <w:ind w:left="360"/>
        <w:contextualSpacing/>
        <w:rPr>
          <w:rFonts w:ascii="Arial" w:eastAsia="Times New Roman" w:hAnsi="Arial" w:cs="Arial"/>
          <w:sz w:val="24"/>
          <w:szCs w:val="24"/>
        </w:rPr>
      </w:pPr>
      <w:r w:rsidRPr="00402285">
        <w:rPr>
          <w:rFonts w:ascii="Arial" w:eastAsia="Times New Roman" w:hAnsi="Arial" w:cs="Arial"/>
          <w:sz w:val="24"/>
          <w:szCs w:val="24"/>
        </w:rPr>
        <w:t>Measurable objectives, including acres of habitat types and number of habitat units by species to be acquired, and a statement estimating the contribution to addressing the wildlife losses identified in Table C-4 in the Appendix</w:t>
      </w:r>
    </w:p>
    <w:p w:rsidR="00402285" w:rsidRPr="00402285" w:rsidRDefault="00402285" w:rsidP="00402285">
      <w:pPr>
        <w:numPr>
          <w:ilvl w:val="0"/>
          <w:numId w:val="2"/>
        </w:numPr>
        <w:spacing w:after="160" w:line="259" w:lineRule="auto"/>
        <w:ind w:left="360"/>
        <w:contextualSpacing/>
        <w:rPr>
          <w:rFonts w:ascii="Arial" w:eastAsia="Times New Roman" w:hAnsi="Arial" w:cs="Arial"/>
          <w:sz w:val="24"/>
          <w:szCs w:val="24"/>
        </w:rPr>
      </w:pPr>
      <w:r w:rsidRPr="00402285">
        <w:rPr>
          <w:rFonts w:ascii="Arial" w:eastAsia="Times New Roman" w:hAnsi="Arial" w:cs="Arial"/>
          <w:sz w:val="24"/>
          <w:szCs w:val="24"/>
        </w:rPr>
        <w:t>Demonstration of consistency with the wildlife policies, objectives, and strategies in the Council’s program, including with the implementation priorities described in Tables C-1, C-2, and C-3 in the Appendix</w:t>
      </w:r>
    </w:p>
    <w:p w:rsidR="00402285" w:rsidRPr="00402285" w:rsidRDefault="00402285" w:rsidP="00402285">
      <w:pPr>
        <w:numPr>
          <w:ilvl w:val="0"/>
          <w:numId w:val="2"/>
        </w:numPr>
        <w:spacing w:after="160" w:line="259" w:lineRule="auto"/>
        <w:ind w:left="360"/>
        <w:contextualSpacing/>
        <w:rPr>
          <w:rFonts w:ascii="Arial" w:eastAsia="Times New Roman" w:hAnsi="Arial" w:cs="Arial"/>
          <w:sz w:val="24"/>
          <w:szCs w:val="24"/>
        </w:rPr>
      </w:pPr>
      <w:r w:rsidRPr="00402285">
        <w:rPr>
          <w:rFonts w:ascii="Arial" w:eastAsia="Times New Roman" w:hAnsi="Arial" w:cs="Arial"/>
          <w:sz w:val="24"/>
          <w:szCs w:val="24"/>
        </w:rPr>
        <w:lastRenderedPageBreak/>
        <w:t>Adherence to the open and public process language found in the Northwest Power Act including measures to address concerns over additions to public land ownership and impacts on local communities, such as a reduction or loss of local government tax base or the local economic base and consistency with local governments’ comprehensive plans</w:t>
      </w:r>
    </w:p>
    <w:p w:rsidR="00402285" w:rsidRPr="00402285" w:rsidRDefault="00402285" w:rsidP="00402285">
      <w:pPr>
        <w:numPr>
          <w:ilvl w:val="0"/>
          <w:numId w:val="2"/>
        </w:numPr>
        <w:spacing w:after="160" w:line="259" w:lineRule="auto"/>
        <w:ind w:left="360"/>
        <w:contextualSpacing/>
        <w:rPr>
          <w:rFonts w:ascii="Arial" w:eastAsia="Times New Roman" w:hAnsi="Arial" w:cs="Arial"/>
          <w:sz w:val="24"/>
          <w:szCs w:val="24"/>
        </w:rPr>
      </w:pPr>
      <w:r w:rsidRPr="00402285">
        <w:rPr>
          <w:rFonts w:ascii="Arial" w:eastAsia="Times New Roman" w:hAnsi="Arial" w:cs="Arial"/>
          <w:sz w:val="24"/>
          <w:szCs w:val="24"/>
        </w:rPr>
        <w:t>When possible, protection for riparian habitat that can benefit both fish and wildlife, and protect high-quality native habitat and species of special concern, including endangered, threatened, or sensitive species</w:t>
      </w:r>
    </w:p>
    <w:p w:rsidR="00402285" w:rsidRPr="00402285" w:rsidRDefault="00402285" w:rsidP="00402285">
      <w:pPr>
        <w:numPr>
          <w:ilvl w:val="0"/>
          <w:numId w:val="2"/>
        </w:numPr>
        <w:spacing w:after="160" w:line="259" w:lineRule="auto"/>
        <w:ind w:left="360"/>
        <w:contextualSpacing/>
        <w:rPr>
          <w:rFonts w:ascii="Arial" w:eastAsia="Times New Roman" w:hAnsi="Arial" w:cs="Arial"/>
          <w:sz w:val="24"/>
          <w:szCs w:val="24"/>
        </w:rPr>
      </w:pPr>
      <w:r w:rsidRPr="00402285">
        <w:rPr>
          <w:rFonts w:ascii="Arial" w:eastAsia="Times New Roman" w:hAnsi="Arial" w:cs="Arial"/>
          <w:sz w:val="24"/>
          <w:szCs w:val="24"/>
        </w:rPr>
        <w:t>Incentives to ensure effective implementation of the agreement, plan or action, with periodic monitoring and evaluation (including a periodic audit) and reporting of results. At a minimum, annual reports to Pisces must continue in order for the Council to evaluate the mitigation benefits.</w:t>
      </w:r>
    </w:p>
    <w:p w:rsidR="00402285" w:rsidRPr="00402285" w:rsidRDefault="00402285" w:rsidP="00402285">
      <w:pPr>
        <w:numPr>
          <w:ilvl w:val="0"/>
          <w:numId w:val="2"/>
        </w:numPr>
        <w:spacing w:after="160" w:line="259" w:lineRule="auto"/>
        <w:ind w:left="360"/>
        <w:contextualSpacing/>
        <w:rPr>
          <w:rFonts w:ascii="Arial" w:eastAsia="Times New Roman" w:hAnsi="Arial" w:cs="Arial"/>
          <w:sz w:val="24"/>
          <w:szCs w:val="24"/>
        </w:rPr>
      </w:pPr>
      <w:r w:rsidRPr="00402285">
        <w:rPr>
          <w:rFonts w:ascii="Arial" w:eastAsia="Times New Roman" w:hAnsi="Arial" w:cs="Arial"/>
          <w:sz w:val="24"/>
          <w:szCs w:val="24"/>
        </w:rPr>
        <w:t>Provisions for funding long-term maintenance of the habitat adequate to sustain the minimum credited habitat values for the life of the project to achieve and sustain the wildlife mitigation objectives</w:t>
      </w:r>
    </w:p>
    <w:p w:rsidR="00402285" w:rsidRPr="00402285" w:rsidRDefault="00402285" w:rsidP="00402285">
      <w:pPr>
        <w:numPr>
          <w:ilvl w:val="0"/>
          <w:numId w:val="2"/>
        </w:numPr>
        <w:spacing w:after="160" w:line="259" w:lineRule="auto"/>
        <w:ind w:left="360"/>
        <w:contextualSpacing/>
        <w:rPr>
          <w:rFonts w:ascii="Arial" w:eastAsia="Times New Roman" w:hAnsi="Arial" w:cs="Arial"/>
          <w:sz w:val="24"/>
          <w:szCs w:val="24"/>
        </w:rPr>
      </w:pPr>
      <w:r w:rsidRPr="00402285">
        <w:rPr>
          <w:rFonts w:ascii="Arial" w:eastAsia="Times New Roman" w:hAnsi="Arial" w:cs="Arial"/>
          <w:sz w:val="24"/>
          <w:szCs w:val="24"/>
        </w:rPr>
        <w:t>For a project to be credited against construction and inundation losses it must be consistent with the Fish and Wildlife Program. Criteria include:</w:t>
      </w:r>
    </w:p>
    <w:p w:rsidR="00402285" w:rsidRPr="00402285" w:rsidRDefault="00402285" w:rsidP="00402285">
      <w:pPr>
        <w:numPr>
          <w:ilvl w:val="0"/>
          <w:numId w:val="4"/>
        </w:numPr>
        <w:spacing w:after="160" w:line="259" w:lineRule="auto"/>
        <w:contextualSpacing/>
        <w:rPr>
          <w:rFonts w:ascii="Arial" w:eastAsia="Times New Roman" w:hAnsi="Arial" w:cs="Arial"/>
          <w:sz w:val="24"/>
          <w:szCs w:val="24"/>
        </w:rPr>
      </w:pPr>
      <w:r w:rsidRPr="00402285">
        <w:rPr>
          <w:rFonts w:ascii="Arial" w:eastAsia="Times New Roman" w:hAnsi="Arial" w:cs="Arial"/>
          <w:sz w:val="24"/>
          <w:szCs w:val="24"/>
        </w:rPr>
        <w:t>Covenants, easements, fee title acquisitions or other appropriate agreements for the life of the hydroelectric project to ensure project areas are permanently protected and dedicated to wildlife benefits</w:t>
      </w:r>
    </w:p>
    <w:p w:rsidR="00402285" w:rsidRPr="00402285" w:rsidRDefault="00402285" w:rsidP="00402285">
      <w:pPr>
        <w:numPr>
          <w:ilvl w:val="0"/>
          <w:numId w:val="4"/>
        </w:numPr>
        <w:spacing w:after="160" w:line="259" w:lineRule="auto"/>
        <w:contextualSpacing/>
        <w:rPr>
          <w:rFonts w:ascii="Arial" w:eastAsia="Times New Roman" w:hAnsi="Arial" w:cs="Arial"/>
          <w:sz w:val="24"/>
          <w:szCs w:val="24"/>
        </w:rPr>
      </w:pPr>
      <w:r w:rsidRPr="00402285">
        <w:rPr>
          <w:rFonts w:ascii="Arial" w:eastAsia="Times New Roman" w:hAnsi="Arial" w:cs="Arial"/>
          <w:sz w:val="24"/>
          <w:szCs w:val="24"/>
        </w:rPr>
        <w:t>A demonstration that projects will benefit priority wildlife habitat, species, or populations as defined by federal, state, or tribal wildlife management plans or subbasin plans</w:t>
      </w:r>
    </w:p>
    <w:p w:rsidR="00402285" w:rsidRPr="00402285" w:rsidRDefault="00402285" w:rsidP="00402285">
      <w:pPr>
        <w:numPr>
          <w:ilvl w:val="0"/>
          <w:numId w:val="4"/>
        </w:numPr>
        <w:spacing w:after="160" w:line="259" w:lineRule="auto"/>
        <w:contextualSpacing/>
        <w:rPr>
          <w:rFonts w:ascii="Arial" w:eastAsia="Times New Roman" w:hAnsi="Arial" w:cs="Arial"/>
          <w:sz w:val="24"/>
          <w:szCs w:val="24"/>
        </w:rPr>
      </w:pPr>
      <w:r w:rsidRPr="00402285">
        <w:rPr>
          <w:rFonts w:ascii="Arial" w:eastAsia="Times New Roman" w:hAnsi="Arial" w:cs="Arial"/>
          <w:sz w:val="24"/>
          <w:szCs w:val="24"/>
        </w:rPr>
        <w:t>A completed project-area management plan</w:t>
      </w:r>
    </w:p>
    <w:p w:rsidR="00402285" w:rsidRPr="00402285" w:rsidRDefault="00402285" w:rsidP="00402285">
      <w:pPr>
        <w:numPr>
          <w:ilvl w:val="0"/>
          <w:numId w:val="4"/>
        </w:numPr>
        <w:spacing w:after="160" w:line="259" w:lineRule="auto"/>
        <w:contextualSpacing/>
        <w:rPr>
          <w:rFonts w:ascii="Arial" w:eastAsia="Times New Roman" w:hAnsi="Arial" w:cs="Arial"/>
          <w:sz w:val="24"/>
          <w:szCs w:val="24"/>
        </w:rPr>
      </w:pPr>
      <w:r w:rsidRPr="00402285">
        <w:rPr>
          <w:rFonts w:ascii="Arial" w:eastAsia="Times New Roman" w:hAnsi="Arial" w:cs="Arial"/>
          <w:sz w:val="24"/>
          <w:szCs w:val="24"/>
        </w:rPr>
        <w:t>A long-term funding agreement adequate to support implementation of the management plan</w:t>
      </w:r>
    </w:p>
    <w:p w:rsidR="00402285" w:rsidRPr="00402285" w:rsidRDefault="00402285" w:rsidP="00402285">
      <w:pPr>
        <w:rPr>
          <w:rFonts w:ascii="Arial" w:eastAsia="Times New Roman" w:hAnsi="Arial" w:cs="Arial"/>
          <w:sz w:val="24"/>
          <w:szCs w:val="24"/>
        </w:rPr>
      </w:pPr>
    </w:p>
    <w:p w:rsidR="00402285" w:rsidRPr="00402285" w:rsidRDefault="00402285" w:rsidP="00402285">
      <w:pPr>
        <w:rPr>
          <w:rFonts w:ascii="Arial" w:eastAsia="Times New Roman" w:hAnsi="Arial" w:cs="Arial"/>
          <w:sz w:val="24"/>
          <w:szCs w:val="24"/>
        </w:rPr>
      </w:pPr>
      <w:r w:rsidRPr="00402285">
        <w:rPr>
          <w:rFonts w:ascii="Arial" w:eastAsia="Times New Roman" w:hAnsi="Arial" w:cs="Arial"/>
          <w:b/>
          <w:bCs/>
          <w:sz w:val="24"/>
          <w:szCs w:val="24"/>
        </w:rPr>
        <w:t>Link to subbasin plans</w:t>
      </w:r>
    </w:p>
    <w:p w:rsidR="00402285" w:rsidRPr="00402285" w:rsidRDefault="00402285" w:rsidP="00402285">
      <w:pPr>
        <w:rPr>
          <w:rFonts w:ascii="Arial" w:eastAsia="Times New Roman" w:hAnsi="Arial" w:cs="Arial"/>
          <w:sz w:val="24"/>
          <w:szCs w:val="24"/>
        </w:rPr>
      </w:pPr>
      <w:r w:rsidRPr="00402285">
        <w:rPr>
          <w:rFonts w:ascii="Arial" w:eastAsia="Times New Roman" w:hAnsi="Arial" w:cs="Arial"/>
          <w:color w:val="000000"/>
          <w:sz w:val="24"/>
          <w:szCs w:val="24"/>
        </w:rPr>
        <w:t xml:space="preserve">See the Council’s </w:t>
      </w:r>
      <w:hyperlink r:id="rId9" w:history="1">
        <w:r w:rsidRPr="00402285">
          <w:rPr>
            <w:rFonts w:ascii="Arial" w:eastAsia="Times New Roman" w:hAnsi="Arial" w:cs="Arial"/>
            <w:color w:val="0000FF"/>
            <w:sz w:val="24"/>
            <w:szCs w:val="24"/>
            <w:u w:val="single"/>
          </w:rPr>
          <w:t>subbasin plans</w:t>
        </w:r>
      </w:hyperlink>
      <w:r w:rsidRPr="00402285">
        <w:rPr>
          <w:rFonts w:ascii="Arial" w:eastAsia="Times New Roman" w:hAnsi="Arial" w:cs="Arial"/>
          <w:color w:val="000000"/>
          <w:sz w:val="24"/>
          <w:szCs w:val="24"/>
        </w:rPr>
        <w:t xml:space="preserve"> for subbasin-level information pertaining</w:t>
      </w:r>
      <w:r w:rsidRPr="00402285">
        <w:rPr>
          <w:rFonts w:ascii="Arial" w:eastAsia="Times New Roman" w:hAnsi="Arial" w:cs="Arial"/>
          <w:b/>
          <w:color w:val="000000"/>
          <w:sz w:val="24"/>
          <w:szCs w:val="24"/>
        </w:rPr>
        <w:t xml:space="preserve"> to </w:t>
      </w:r>
      <w:r w:rsidRPr="00402285">
        <w:rPr>
          <w:rFonts w:ascii="Arial" w:eastAsia="Times New Roman" w:hAnsi="Arial" w:cs="Arial"/>
          <w:sz w:val="24"/>
          <w:szCs w:val="24"/>
        </w:rPr>
        <w:t>wildlife focal species and management strategies that help guide project selection.</w:t>
      </w:r>
    </w:p>
    <w:p w:rsidR="00402285" w:rsidRPr="00402285" w:rsidRDefault="00402285" w:rsidP="00402285">
      <w:pPr>
        <w:rPr>
          <w:rFonts w:ascii="Arial" w:eastAsia="Times New Roman" w:hAnsi="Arial" w:cs="Arial"/>
          <w:b/>
          <w:sz w:val="24"/>
          <w:szCs w:val="24"/>
        </w:rPr>
      </w:pPr>
    </w:p>
    <w:p w:rsidR="00402285" w:rsidRPr="00402285" w:rsidRDefault="00402285" w:rsidP="00402285">
      <w:pPr>
        <w:rPr>
          <w:rFonts w:ascii="Arial" w:eastAsia="Times New Roman" w:hAnsi="Arial" w:cs="Arial"/>
          <w:b/>
          <w:sz w:val="24"/>
          <w:szCs w:val="24"/>
        </w:rPr>
      </w:pPr>
      <w:r w:rsidRPr="00402285">
        <w:rPr>
          <w:rFonts w:ascii="Arial" w:eastAsia="Times New Roman" w:hAnsi="Arial" w:cs="Arial"/>
          <w:b/>
          <w:sz w:val="24"/>
          <w:szCs w:val="24"/>
        </w:rPr>
        <w:t>Link to resolving uncertainties and tracking progress</w:t>
      </w:r>
    </w:p>
    <w:p w:rsidR="00402285" w:rsidRPr="00402285" w:rsidRDefault="00402285" w:rsidP="00402285">
      <w:pPr>
        <w:rPr>
          <w:rFonts w:ascii="Arial" w:eastAsia="Times New Roman" w:hAnsi="Arial" w:cs="Arial"/>
          <w:b/>
          <w:sz w:val="24"/>
          <w:szCs w:val="24"/>
        </w:rPr>
      </w:pPr>
      <w:r w:rsidRPr="00402285">
        <w:rPr>
          <w:rFonts w:ascii="Arial" w:eastAsia="Times New Roman" w:hAnsi="Arial" w:cs="Arial"/>
          <w:b/>
          <w:sz w:val="24"/>
          <w:szCs w:val="24"/>
        </w:rPr>
        <w:t>Wildlife Advisory Committee</w:t>
      </w:r>
    </w:p>
    <w:p w:rsidR="00402285" w:rsidRPr="00402285" w:rsidRDefault="00402285" w:rsidP="00402285">
      <w:pPr>
        <w:autoSpaceDE w:val="0"/>
        <w:autoSpaceDN w:val="0"/>
        <w:adjustRightInd w:val="0"/>
        <w:rPr>
          <w:rFonts w:ascii="Arial" w:eastAsia="Times New Roman" w:hAnsi="Arial" w:cs="Arial"/>
          <w:color w:val="000000"/>
          <w:sz w:val="24"/>
          <w:szCs w:val="24"/>
        </w:rPr>
      </w:pPr>
      <w:r w:rsidRPr="00402285">
        <w:rPr>
          <w:rFonts w:ascii="Arial" w:eastAsia="Times New Roman" w:hAnsi="Arial" w:cs="Arial"/>
          <w:color w:val="000000"/>
          <w:sz w:val="24"/>
          <w:szCs w:val="24"/>
        </w:rPr>
        <w:t xml:space="preserve">The Council recognizes the ongoing difficulties in addressing wildlife operational losses. At the same time the Council recognizes the progress that has been made in addressing this issue as the result of pilot projects on the Kootenai River. To address this issue the Council has directed its Wildlife Advisory Committee to examine the existing options and alternatives for providing mitigation for wildlife operational losses and to provide a recommendation to the Council for resolving the issue by October 1, 2015. In addition, the committee has been charged to make recommendations on the following issues: </w:t>
      </w:r>
    </w:p>
    <w:p w:rsidR="00402285" w:rsidRPr="00402285" w:rsidRDefault="00402285" w:rsidP="00402285">
      <w:pPr>
        <w:numPr>
          <w:ilvl w:val="0"/>
          <w:numId w:val="5"/>
        </w:numPr>
        <w:autoSpaceDE w:val="0"/>
        <w:autoSpaceDN w:val="0"/>
        <w:adjustRightInd w:val="0"/>
        <w:spacing w:after="160" w:line="259" w:lineRule="auto"/>
        <w:ind w:left="360"/>
        <w:rPr>
          <w:rFonts w:ascii="Arial" w:eastAsia="Times New Roman" w:hAnsi="Arial" w:cs="Arial"/>
          <w:color w:val="000000"/>
          <w:sz w:val="24"/>
          <w:szCs w:val="24"/>
          <w:highlight w:val="yellow"/>
        </w:rPr>
      </w:pPr>
      <w:r w:rsidRPr="00402285">
        <w:rPr>
          <w:rFonts w:ascii="Arial" w:eastAsia="Times New Roman" w:hAnsi="Arial" w:cs="Arial"/>
          <w:color w:val="000000"/>
          <w:sz w:val="24"/>
          <w:szCs w:val="24"/>
          <w:highlight w:val="yellow"/>
        </w:rPr>
        <w:t>The need for additional HEP reports and future HEP Team funding</w:t>
      </w:r>
    </w:p>
    <w:p w:rsidR="00402285" w:rsidRPr="00402285" w:rsidRDefault="00402285" w:rsidP="00402285">
      <w:pPr>
        <w:numPr>
          <w:ilvl w:val="0"/>
          <w:numId w:val="5"/>
        </w:numPr>
        <w:autoSpaceDE w:val="0"/>
        <w:autoSpaceDN w:val="0"/>
        <w:adjustRightInd w:val="0"/>
        <w:spacing w:after="160" w:line="259" w:lineRule="auto"/>
        <w:ind w:left="360"/>
        <w:rPr>
          <w:rFonts w:ascii="Arial" w:eastAsia="Times New Roman" w:hAnsi="Arial" w:cs="Arial"/>
          <w:color w:val="000000"/>
          <w:sz w:val="24"/>
          <w:szCs w:val="24"/>
          <w:highlight w:val="yellow"/>
        </w:rPr>
      </w:pPr>
      <w:r w:rsidRPr="00402285">
        <w:rPr>
          <w:rFonts w:ascii="Arial" w:eastAsia="Times New Roman" w:hAnsi="Arial" w:cs="Arial"/>
          <w:color w:val="000000"/>
          <w:sz w:val="24"/>
          <w:szCs w:val="24"/>
          <w:highlight w:val="yellow"/>
        </w:rPr>
        <w:t>The diminishing need for HEP on new acquisitions as Bonneville completes construction and inundation mitigation</w:t>
      </w:r>
    </w:p>
    <w:p w:rsidR="00402285" w:rsidRPr="00402285" w:rsidRDefault="00402285" w:rsidP="00402285">
      <w:pPr>
        <w:numPr>
          <w:ilvl w:val="0"/>
          <w:numId w:val="6"/>
        </w:numPr>
        <w:spacing w:after="160" w:line="259" w:lineRule="auto"/>
        <w:ind w:left="360"/>
        <w:rPr>
          <w:rFonts w:ascii="Arial" w:eastAsia="Times New Roman" w:hAnsi="Arial" w:cs="Arial"/>
          <w:sz w:val="24"/>
          <w:szCs w:val="24"/>
          <w:highlight w:val="yellow"/>
        </w:rPr>
      </w:pPr>
      <w:r w:rsidRPr="00402285">
        <w:rPr>
          <w:rFonts w:ascii="Arial" w:eastAsia="Times New Roman" w:hAnsi="Arial" w:cs="Arial"/>
          <w:sz w:val="24"/>
          <w:szCs w:val="24"/>
          <w:highlight w:val="yellow"/>
        </w:rPr>
        <w:t xml:space="preserve">Current regional need for follow-up HEP capacity to track project agreement compliance on many properties. That need may be influenced by 1) long-term settlements for operation and maintenance, 2) technology advances that may allow the </w:t>
      </w:r>
      <w:r w:rsidRPr="00402285">
        <w:rPr>
          <w:rFonts w:ascii="Arial" w:eastAsia="Times New Roman" w:hAnsi="Arial" w:cs="Arial"/>
          <w:sz w:val="24"/>
          <w:szCs w:val="24"/>
          <w:highlight w:val="yellow"/>
        </w:rPr>
        <w:lastRenderedPageBreak/>
        <w:t>region to more cost effectively track changes in habitat conditions using remote sensing or other techniques, and 3) species responses.</w:t>
      </w:r>
    </w:p>
    <w:p w:rsidR="00402285" w:rsidRPr="00402285" w:rsidRDefault="00402285" w:rsidP="00402285">
      <w:pPr>
        <w:numPr>
          <w:ilvl w:val="0"/>
          <w:numId w:val="6"/>
        </w:numPr>
        <w:autoSpaceDE w:val="0"/>
        <w:autoSpaceDN w:val="0"/>
        <w:adjustRightInd w:val="0"/>
        <w:spacing w:after="160" w:line="259" w:lineRule="auto"/>
        <w:ind w:left="360"/>
        <w:rPr>
          <w:rFonts w:ascii="Arial" w:eastAsia="Times New Roman" w:hAnsi="Arial" w:cs="Arial"/>
          <w:color w:val="000000"/>
          <w:sz w:val="24"/>
          <w:szCs w:val="24"/>
          <w:highlight w:val="yellow"/>
        </w:rPr>
      </w:pPr>
      <w:r w:rsidRPr="00402285">
        <w:rPr>
          <w:rFonts w:ascii="Arial" w:eastAsia="Times New Roman" w:hAnsi="Arial" w:cs="Arial"/>
          <w:color w:val="000000"/>
          <w:sz w:val="24"/>
          <w:szCs w:val="24"/>
          <w:highlight w:val="yellow"/>
        </w:rPr>
        <w:t>The need for new methods to assess operational losses that incorporate the results of ongoing pilot projects. This could include technical testing and evaluation of operational loss models and methodologies, or other alternative habitat evaluation methods.</w:t>
      </w:r>
    </w:p>
    <w:p w:rsidR="00402285" w:rsidRPr="00402285" w:rsidRDefault="00402285" w:rsidP="00402285">
      <w:pPr>
        <w:spacing w:after="160" w:line="259" w:lineRule="auto"/>
        <w:rPr>
          <w:rFonts w:asciiTheme="minorHAnsi" w:eastAsiaTheme="minorHAnsi" w:hAnsiTheme="minorHAnsi" w:cstheme="minorBidi"/>
        </w:rPr>
      </w:pPr>
    </w:p>
    <w:p w:rsidR="0092505F" w:rsidRDefault="001E441F">
      <w:pPr>
        <w:spacing w:before="11" w:line="139" w:lineRule="exact"/>
        <w:textAlignment w:val="baseline"/>
        <w:rPr>
          <w:rFonts w:eastAsia="Times New Roman"/>
          <w:color w:val="000000"/>
          <w:sz w:val="12"/>
        </w:rPr>
      </w:pPr>
      <w:r>
        <w:rPr>
          <w:sz w:val="48"/>
        </w:rPr>
        <w:pict>
          <v:line id="_x0000_s1026" style="position:absolute;z-index:251657728;mso-position-horizontal-relative:page;mso-position-vertical-relative:page" from="71.75pt,637.2pt" to="192.3pt,637.2pt" strokeweight=".5pt">
            <w10:wrap anchorx="page" anchory="page"/>
          </v:line>
        </w:pict>
      </w:r>
    </w:p>
    <w:sectPr w:rsidR="0092505F">
      <w:headerReference w:type="default" r:id="rId10"/>
      <w:pgSz w:w="12240" w:h="15840"/>
      <w:pgMar w:top="1060" w:right="1316" w:bottom="324" w:left="131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41F" w:rsidRDefault="001E441F" w:rsidP="002B3565">
      <w:r>
        <w:separator/>
      </w:r>
    </w:p>
  </w:endnote>
  <w:endnote w:type="continuationSeparator" w:id="0">
    <w:p w:rsidR="001E441F" w:rsidRDefault="001E441F" w:rsidP="002B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41F" w:rsidRDefault="001E441F" w:rsidP="002B3565">
      <w:r>
        <w:separator/>
      </w:r>
    </w:p>
  </w:footnote>
  <w:footnote w:type="continuationSeparator" w:id="0">
    <w:p w:rsidR="001E441F" w:rsidRDefault="001E441F" w:rsidP="002B3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65" w:rsidRPr="002B3565" w:rsidRDefault="002B3565">
    <w:pPr>
      <w:pStyle w:val="Header"/>
      <w:rPr>
        <w:b/>
        <w:sz w:val="28"/>
      </w:rPr>
    </w:pPr>
    <w:r w:rsidRPr="002B3565">
      <w:rPr>
        <w:b/>
        <w:sz w:val="28"/>
      </w:rPr>
      <w:t>Attachment 1</w:t>
    </w:r>
  </w:p>
  <w:p w:rsidR="002B3565" w:rsidRDefault="002B35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2A32"/>
    <w:multiLevelType w:val="hybridMultilevel"/>
    <w:tmpl w:val="0C1E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73D0B"/>
    <w:multiLevelType w:val="hybridMultilevel"/>
    <w:tmpl w:val="41CE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F326C"/>
    <w:multiLevelType w:val="hybridMultilevel"/>
    <w:tmpl w:val="4E28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145F4C"/>
    <w:multiLevelType w:val="multilevel"/>
    <w:tmpl w:val="4D2E30B6"/>
    <w:lvl w:ilvl="0">
      <w:start w:val="1"/>
      <w:numFmt w:val="decimal"/>
      <w:lvlText w:val="%1."/>
      <w:lvlJc w:val="left"/>
      <w:pPr>
        <w:tabs>
          <w:tab w:val="left" w:pos="144"/>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6F2564"/>
    <w:multiLevelType w:val="hybridMultilevel"/>
    <w:tmpl w:val="55749B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C306BC8"/>
    <w:multiLevelType w:val="hybridMultilevel"/>
    <w:tmpl w:val="CCF4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6063FF"/>
    <w:multiLevelType w:val="hybridMultilevel"/>
    <w:tmpl w:val="AB26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92505F"/>
    <w:rsid w:val="00035B6D"/>
    <w:rsid w:val="00080E16"/>
    <w:rsid w:val="001E441F"/>
    <w:rsid w:val="002B3565"/>
    <w:rsid w:val="002D0F9A"/>
    <w:rsid w:val="002E33B6"/>
    <w:rsid w:val="00317892"/>
    <w:rsid w:val="003A2FF5"/>
    <w:rsid w:val="003B5620"/>
    <w:rsid w:val="00402285"/>
    <w:rsid w:val="00584FE2"/>
    <w:rsid w:val="00661D9A"/>
    <w:rsid w:val="0068699A"/>
    <w:rsid w:val="00774ED1"/>
    <w:rsid w:val="0092505F"/>
    <w:rsid w:val="00A418A6"/>
    <w:rsid w:val="00B602F1"/>
    <w:rsid w:val="00C4730E"/>
    <w:rsid w:val="00D1342F"/>
    <w:rsid w:val="00EE5058"/>
    <w:rsid w:val="00F3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34BFEFD-BD27-474E-8C17-B8D771BF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42F"/>
    <w:rPr>
      <w:color w:val="0000FF"/>
      <w:u w:val="single"/>
    </w:rPr>
  </w:style>
  <w:style w:type="paragraph" w:styleId="Header">
    <w:name w:val="header"/>
    <w:basedOn w:val="Normal"/>
    <w:link w:val="HeaderChar"/>
    <w:uiPriority w:val="99"/>
    <w:unhideWhenUsed/>
    <w:rsid w:val="002B3565"/>
    <w:pPr>
      <w:tabs>
        <w:tab w:val="center" w:pos="4680"/>
        <w:tab w:val="right" w:pos="9360"/>
      </w:tabs>
    </w:pPr>
  </w:style>
  <w:style w:type="character" w:customStyle="1" w:styleId="HeaderChar">
    <w:name w:val="Header Char"/>
    <w:basedOn w:val="DefaultParagraphFont"/>
    <w:link w:val="Header"/>
    <w:uiPriority w:val="99"/>
    <w:rsid w:val="002B3565"/>
  </w:style>
  <w:style w:type="paragraph" w:styleId="Footer">
    <w:name w:val="footer"/>
    <w:basedOn w:val="Normal"/>
    <w:link w:val="FooterChar"/>
    <w:uiPriority w:val="99"/>
    <w:unhideWhenUsed/>
    <w:rsid w:val="002B3565"/>
    <w:pPr>
      <w:tabs>
        <w:tab w:val="center" w:pos="4680"/>
        <w:tab w:val="right" w:pos="9360"/>
      </w:tabs>
    </w:pPr>
  </w:style>
  <w:style w:type="character" w:customStyle="1" w:styleId="FooterChar">
    <w:name w:val="Footer Char"/>
    <w:basedOn w:val="DefaultParagraphFont"/>
    <w:link w:val="Footer"/>
    <w:uiPriority w:val="99"/>
    <w:rsid w:val="002B3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7504">
      <w:bodyDiv w:val="1"/>
      <w:marLeft w:val="0"/>
      <w:marRight w:val="0"/>
      <w:marTop w:val="0"/>
      <w:marBottom w:val="0"/>
      <w:divBdr>
        <w:top w:val="none" w:sz="0" w:space="0" w:color="auto"/>
        <w:left w:val="none" w:sz="0" w:space="0" w:color="auto"/>
        <w:bottom w:val="none" w:sz="0" w:space="0" w:color="auto"/>
        <w:right w:val="none" w:sz="0" w:space="0" w:color="auto"/>
      </w:divBdr>
    </w:div>
    <w:div w:id="1320573933">
      <w:bodyDiv w:val="1"/>
      <w:marLeft w:val="0"/>
      <w:marRight w:val="0"/>
      <w:marTop w:val="0"/>
      <w:marBottom w:val="0"/>
      <w:divBdr>
        <w:top w:val="none" w:sz="0" w:space="0" w:color="auto"/>
        <w:left w:val="none" w:sz="0" w:space="0" w:color="auto"/>
        <w:bottom w:val="none" w:sz="0" w:space="0" w:color="auto"/>
        <w:right w:val="none" w:sz="0" w:space="0" w:color="auto"/>
      </w:divBdr>
    </w:div>
    <w:div w:id="1740862943">
      <w:bodyDiv w:val="1"/>
      <w:marLeft w:val="0"/>
      <w:marRight w:val="0"/>
      <w:marTop w:val="0"/>
      <w:marBottom w:val="0"/>
      <w:divBdr>
        <w:top w:val="none" w:sz="0" w:space="0" w:color="auto"/>
        <w:left w:val="none" w:sz="0" w:space="0" w:color="auto"/>
        <w:bottom w:val="none" w:sz="0" w:space="0" w:color="auto"/>
        <w:right w:val="none" w:sz="0" w:space="0" w:color="auto"/>
      </w:divBdr>
    </w:div>
    <w:div w:id="183522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1.gotomeeting.com/join/4300023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wcouncil.org/fw/subbasinplannin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Paquet</cp:lastModifiedBy>
  <cp:revision>4</cp:revision>
  <dcterms:created xsi:type="dcterms:W3CDTF">2014-05-20T15:33:00Z</dcterms:created>
  <dcterms:modified xsi:type="dcterms:W3CDTF">2014-05-20T16:02:00Z</dcterms:modified>
</cp:coreProperties>
</file>