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2" w:type="dxa"/>
        <w:tblLayout w:type="fixed"/>
        <w:tblCellMar>
          <w:left w:w="115" w:type="dxa"/>
          <w:right w:w="115" w:type="dxa"/>
        </w:tblCellMar>
        <w:tblLook w:val="04A0"/>
      </w:tblPr>
      <w:tblGrid>
        <w:gridCol w:w="2369"/>
        <w:gridCol w:w="5702"/>
        <w:gridCol w:w="2369"/>
      </w:tblGrid>
      <w:tr w:rsidR="00AB10DB" w:rsidRPr="00D06FF2" w:rsidTr="00D06FF2">
        <w:trPr>
          <w:cantSplit/>
          <w:trHeight w:val="576"/>
        </w:trPr>
        <w:tc>
          <w:tcPr>
            <w:tcW w:w="2369" w:type="dxa"/>
            <w:tcMar>
              <w:top w:w="14" w:type="dxa"/>
              <w:left w:w="115" w:type="dxa"/>
              <w:bottom w:w="14" w:type="dxa"/>
              <w:right w:w="115" w:type="dxa"/>
            </w:tcMar>
            <w:vAlign w:val="center"/>
            <w:hideMark/>
          </w:tcPr>
          <w:p w:rsidR="00AB10DB" w:rsidRPr="00D06FF2" w:rsidRDefault="009F11FB" w:rsidP="00D06FF2">
            <w:pPr>
              <w:jc w:val="center"/>
              <w:rPr>
                <w:b/>
                <w:sz w:val="16"/>
                <w:szCs w:val="16"/>
              </w:rPr>
            </w:pPr>
            <w:r>
              <w:rPr>
                <w:b/>
                <w:sz w:val="16"/>
                <w:szCs w:val="16"/>
              </w:rPr>
              <w:t>Phil Rockefeller</w:t>
            </w:r>
            <w:r w:rsidR="00AB10DB" w:rsidRPr="00D06FF2">
              <w:rPr>
                <w:b/>
                <w:sz w:val="16"/>
                <w:szCs w:val="16"/>
              </w:rPr>
              <w:t xml:space="preserve"> </w:t>
            </w:r>
          </w:p>
          <w:p w:rsidR="00AB10DB" w:rsidRPr="00D06FF2" w:rsidRDefault="00AB10DB" w:rsidP="00D06FF2">
            <w:pPr>
              <w:jc w:val="center"/>
              <w:rPr>
                <w:b/>
                <w:sz w:val="16"/>
                <w:szCs w:val="16"/>
              </w:rPr>
            </w:pPr>
            <w:r w:rsidRPr="00D06FF2">
              <w:rPr>
                <w:b/>
                <w:sz w:val="16"/>
                <w:szCs w:val="16"/>
              </w:rPr>
              <w:t>Chair</w:t>
            </w:r>
          </w:p>
          <w:p w:rsidR="00AB10DB" w:rsidRPr="00D06FF2" w:rsidRDefault="009F11FB" w:rsidP="009F11FB">
            <w:pPr>
              <w:jc w:val="center"/>
              <w:rPr>
                <w:b/>
                <w:sz w:val="16"/>
                <w:szCs w:val="16"/>
              </w:rPr>
            </w:pPr>
            <w:r>
              <w:rPr>
                <w:bCs/>
                <w:sz w:val="16"/>
                <w:szCs w:val="16"/>
              </w:rPr>
              <w:t>Washingto</w:t>
            </w:r>
            <w:r w:rsidR="00AB10DB" w:rsidRPr="00D06FF2">
              <w:rPr>
                <w:bCs/>
                <w:sz w:val="16"/>
                <w:szCs w:val="16"/>
              </w:rPr>
              <w:t>n</w:t>
            </w:r>
          </w:p>
        </w:tc>
        <w:tc>
          <w:tcPr>
            <w:tcW w:w="5702" w:type="dxa"/>
            <w:vMerge w:val="restart"/>
            <w:tcMar>
              <w:top w:w="14" w:type="dxa"/>
              <w:left w:w="115" w:type="dxa"/>
              <w:bottom w:w="14" w:type="dxa"/>
              <w:right w:w="115" w:type="dxa"/>
            </w:tcMar>
          </w:tcPr>
          <w:p w:rsidR="00AB10DB" w:rsidRPr="00D06FF2" w:rsidRDefault="00AB10DB" w:rsidP="00D06FF2">
            <w:pPr>
              <w:ind w:right="68"/>
              <w:jc w:val="center"/>
              <w:rPr>
                <w:sz w:val="16"/>
                <w:szCs w:val="16"/>
              </w:rPr>
            </w:pPr>
            <w:r w:rsidRPr="00D06FF2">
              <w:rPr>
                <w:noProof/>
              </w:rPr>
              <w:drawing>
                <wp:anchor distT="0" distB="0" distL="114300" distR="114300" simplePos="0" relativeHeight="251658240" behindDoc="0" locked="0" layoutInCell="1" allowOverlap="1">
                  <wp:simplePos x="0" y="0"/>
                  <wp:positionH relativeFrom="column">
                    <wp:posOffset>379730</wp:posOffset>
                  </wp:positionH>
                  <wp:positionV relativeFrom="paragraph">
                    <wp:posOffset>635</wp:posOffset>
                  </wp:positionV>
                  <wp:extent cx="2657475" cy="1419225"/>
                  <wp:effectExtent l="0" t="0" r="0" b="0"/>
                  <wp:wrapNone/>
                  <wp:docPr id="3" name="Picture 3" descr="Logo-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Letterhead"/>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7475" cy="1419225"/>
                          </a:xfrm>
                          <a:prstGeom prst="rect">
                            <a:avLst/>
                          </a:prstGeom>
                          <a:noFill/>
                          <a:ln>
                            <a:noFill/>
                          </a:ln>
                        </pic:spPr>
                      </pic:pic>
                    </a:graphicData>
                  </a:graphic>
                </wp:anchor>
              </w:drawing>
            </w:r>
          </w:p>
          <w:p w:rsidR="00AB10DB" w:rsidRPr="00D06FF2" w:rsidRDefault="00AB10DB" w:rsidP="00D06FF2">
            <w:pPr>
              <w:ind w:right="68"/>
              <w:jc w:val="center"/>
              <w:rPr>
                <w:sz w:val="16"/>
                <w:szCs w:val="16"/>
              </w:rPr>
            </w:pPr>
          </w:p>
          <w:p w:rsidR="00AB10DB" w:rsidRPr="00D06FF2" w:rsidRDefault="00AB10DB" w:rsidP="00D06FF2">
            <w:pPr>
              <w:ind w:right="68"/>
              <w:rPr>
                <w:sz w:val="16"/>
                <w:szCs w:val="16"/>
              </w:rPr>
            </w:pPr>
          </w:p>
        </w:tc>
        <w:tc>
          <w:tcPr>
            <w:tcW w:w="2369" w:type="dxa"/>
            <w:tcMar>
              <w:top w:w="14" w:type="dxa"/>
              <w:left w:w="115" w:type="dxa"/>
              <w:bottom w:w="14" w:type="dxa"/>
              <w:right w:w="115" w:type="dxa"/>
            </w:tcMar>
            <w:vAlign w:val="center"/>
            <w:hideMark/>
          </w:tcPr>
          <w:p w:rsidR="009F11FB" w:rsidRPr="00D06FF2" w:rsidRDefault="009F11FB" w:rsidP="009F11FB">
            <w:pPr>
              <w:jc w:val="center"/>
              <w:rPr>
                <w:b/>
                <w:sz w:val="16"/>
                <w:szCs w:val="16"/>
              </w:rPr>
            </w:pPr>
            <w:r w:rsidRPr="00D06FF2">
              <w:rPr>
                <w:b/>
                <w:sz w:val="16"/>
                <w:szCs w:val="16"/>
              </w:rPr>
              <w:t>W. Bill Booth</w:t>
            </w:r>
          </w:p>
          <w:p w:rsidR="00AB10DB" w:rsidRPr="00D06FF2" w:rsidRDefault="00AB10DB" w:rsidP="00D06FF2">
            <w:pPr>
              <w:jc w:val="center"/>
              <w:rPr>
                <w:b/>
                <w:sz w:val="16"/>
                <w:szCs w:val="16"/>
              </w:rPr>
            </w:pPr>
            <w:r w:rsidRPr="00D06FF2">
              <w:rPr>
                <w:b/>
                <w:sz w:val="16"/>
                <w:szCs w:val="16"/>
              </w:rPr>
              <w:t>Vice Chair</w:t>
            </w:r>
          </w:p>
          <w:p w:rsidR="00AB10DB" w:rsidRPr="00D06FF2" w:rsidRDefault="009F11FB" w:rsidP="009F11FB">
            <w:pPr>
              <w:jc w:val="center"/>
              <w:rPr>
                <w:bCs/>
                <w:sz w:val="16"/>
                <w:szCs w:val="16"/>
              </w:rPr>
            </w:pPr>
            <w:r w:rsidRPr="00D06FF2">
              <w:rPr>
                <w:bCs/>
                <w:sz w:val="16"/>
                <w:szCs w:val="16"/>
              </w:rPr>
              <w:t>Idaho</w:t>
            </w:r>
          </w:p>
        </w:tc>
      </w:tr>
      <w:tr w:rsidR="00AB10DB" w:rsidRPr="00D06FF2" w:rsidTr="00D06FF2">
        <w:trPr>
          <w:cantSplit/>
          <w:trHeight w:val="475"/>
        </w:trPr>
        <w:tc>
          <w:tcPr>
            <w:tcW w:w="2369" w:type="dxa"/>
            <w:tcMar>
              <w:top w:w="14" w:type="dxa"/>
              <w:left w:w="115" w:type="dxa"/>
              <w:bottom w:w="14" w:type="dxa"/>
              <w:right w:w="115" w:type="dxa"/>
            </w:tcMar>
          </w:tcPr>
          <w:p w:rsidR="00AB10DB" w:rsidRPr="00D06FF2" w:rsidRDefault="00AB10DB" w:rsidP="00D06FF2">
            <w:pPr>
              <w:jc w:val="center"/>
              <w:rPr>
                <w:b/>
                <w:sz w:val="16"/>
                <w:szCs w:val="16"/>
              </w:rPr>
            </w:pPr>
          </w:p>
          <w:p w:rsidR="00AB10DB" w:rsidRPr="00D06FF2" w:rsidRDefault="009F11FB" w:rsidP="00D06FF2">
            <w:pPr>
              <w:jc w:val="center"/>
              <w:rPr>
                <w:b/>
                <w:sz w:val="16"/>
                <w:szCs w:val="16"/>
              </w:rPr>
            </w:pPr>
            <w:r>
              <w:rPr>
                <w:b/>
                <w:sz w:val="16"/>
                <w:szCs w:val="16"/>
              </w:rPr>
              <w:t>Tom Karier</w:t>
            </w:r>
          </w:p>
          <w:p w:rsidR="00AB10DB" w:rsidRPr="00D06FF2" w:rsidRDefault="009F11FB" w:rsidP="00D06FF2">
            <w:pPr>
              <w:jc w:val="center"/>
              <w:rPr>
                <w:bCs/>
                <w:sz w:val="16"/>
                <w:szCs w:val="16"/>
              </w:rPr>
            </w:pPr>
            <w:r>
              <w:rPr>
                <w:bCs/>
                <w:sz w:val="16"/>
                <w:szCs w:val="16"/>
              </w:rPr>
              <w:t>Washingt</w:t>
            </w:r>
            <w:r w:rsidR="00AB10DB" w:rsidRPr="00D06FF2">
              <w:rPr>
                <w:bCs/>
                <w:sz w:val="16"/>
                <w:szCs w:val="16"/>
              </w:rPr>
              <w:t>on</w:t>
            </w:r>
          </w:p>
          <w:p w:rsidR="00AB10DB" w:rsidRPr="00D06FF2" w:rsidRDefault="00AB10DB" w:rsidP="00D06FF2">
            <w:pPr>
              <w:jc w:val="center"/>
              <w:rPr>
                <w:bCs/>
                <w:sz w:val="16"/>
                <w:szCs w:val="16"/>
              </w:rPr>
            </w:pPr>
          </w:p>
          <w:p w:rsidR="00AB10DB" w:rsidRPr="00D06FF2" w:rsidRDefault="009F11FB" w:rsidP="00D06FF2">
            <w:pPr>
              <w:jc w:val="center"/>
              <w:rPr>
                <w:b/>
                <w:sz w:val="16"/>
                <w:szCs w:val="16"/>
              </w:rPr>
            </w:pPr>
            <w:r>
              <w:rPr>
                <w:b/>
                <w:sz w:val="16"/>
                <w:szCs w:val="16"/>
              </w:rPr>
              <w:t xml:space="preserve">Henry </w:t>
            </w:r>
            <w:proofErr w:type="spellStart"/>
            <w:r>
              <w:rPr>
                <w:b/>
                <w:sz w:val="16"/>
                <w:szCs w:val="16"/>
              </w:rPr>
              <w:t>Lorenzen</w:t>
            </w:r>
            <w:proofErr w:type="spellEnd"/>
          </w:p>
          <w:p w:rsidR="00AB10DB" w:rsidRPr="00D06FF2" w:rsidRDefault="009F11FB" w:rsidP="00D06FF2">
            <w:pPr>
              <w:jc w:val="center"/>
              <w:rPr>
                <w:bCs/>
                <w:sz w:val="16"/>
                <w:szCs w:val="16"/>
              </w:rPr>
            </w:pPr>
            <w:r>
              <w:rPr>
                <w:bCs/>
                <w:sz w:val="16"/>
                <w:szCs w:val="16"/>
              </w:rPr>
              <w:t>Oregon</w:t>
            </w:r>
          </w:p>
          <w:p w:rsidR="00AB10DB" w:rsidRPr="00D06FF2" w:rsidRDefault="00AB10DB" w:rsidP="00D06FF2">
            <w:pPr>
              <w:jc w:val="center"/>
              <w:rPr>
                <w:b/>
                <w:sz w:val="16"/>
                <w:szCs w:val="16"/>
              </w:rPr>
            </w:pPr>
          </w:p>
          <w:p w:rsidR="00AB10DB" w:rsidRPr="00D06FF2" w:rsidRDefault="009F11FB" w:rsidP="00D06FF2">
            <w:pPr>
              <w:jc w:val="center"/>
              <w:rPr>
                <w:b/>
                <w:sz w:val="16"/>
                <w:szCs w:val="16"/>
              </w:rPr>
            </w:pPr>
            <w:r>
              <w:rPr>
                <w:b/>
                <w:sz w:val="16"/>
                <w:szCs w:val="16"/>
              </w:rPr>
              <w:t>Bill Bradbury</w:t>
            </w:r>
          </w:p>
          <w:p w:rsidR="00AB10DB" w:rsidRPr="00D06FF2" w:rsidRDefault="009F11FB" w:rsidP="00D06FF2">
            <w:pPr>
              <w:jc w:val="center"/>
              <w:rPr>
                <w:bCs/>
                <w:sz w:val="16"/>
                <w:szCs w:val="16"/>
              </w:rPr>
            </w:pPr>
            <w:r>
              <w:rPr>
                <w:bCs/>
                <w:sz w:val="16"/>
                <w:szCs w:val="16"/>
              </w:rPr>
              <w:t>Oregon</w:t>
            </w:r>
            <w:r w:rsidR="00AB10DB" w:rsidRPr="00D06FF2">
              <w:rPr>
                <w:b/>
                <w:sz w:val="16"/>
                <w:szCs w:val="16"/>
              </w:rPr>
              <w:t xml:space="preserve"> </w:t>
            </w:r>
          </w:p>
          <w:p w:rsidR="00AB10DB" w:rsidRPr="00D06FF2" w:rsidRDefault="00AB10DB" w:rsidP="00D06FF2">
            <w:pPr>
              <w:jc w:val="center"/>
              <w:rPr>
                <w:b/>
                <w:sz w:val="16"/>
                <w:szCs w:val="16"/>
              </w:rPr>
            </w:pPr>
          </w:p>
        </w:tc>
        <w:tc>
          <w:tcPr>
            <w:tcW w:w="5702" w:type="dxa"/>
            <w:vMerge/>
            <w:vAlign w:val="center"/>
            <w:hideMark/>
          </w:tcPr>
          <w:p w:rsidR="00AB10DB" w:rsidRPr="00D06FF2" w:rsidRDefault="00AB10DB" w:rsidP="00D06FF2">
            <w:pPr>
              <w:rPr>
                <w:sz w:val="16"/>
                <w:szCs w:val="16"/>
              </w:rPr>
            </w:pPr>
          </w:p>
        </w:tc>
        <w:tc>
          <w:tcPr>
            <w:tcW w:w="2369" w:type="dxa"/>
            <w:tcMar>
              <w:top w:w="14" w:type="dxa"/>
              <w:left w:w="115" w:type="dxa"/>
              <w:bottom w:w="14" w:type="dxa"/>
              <w:right w:w="115" w:type="dxa"/>
            </w:tcMar>
          </w:tcPr>
          <w:p w:rsidR="00AB10DB" w:rsidRPr="00D06FF2" w:rsidRDefault="00AB10DB" w:rsidP="00D06FF2">
            <w:pPr>
              <w:jc w:val="center"/>
              <w:rPr>
                <w:b/>
                <w:sz w:val="16"/>
                <w:szCs w:val="16"/>
              </w:rPr>
            </w:pPr>
          </w:p>
          <w:p w:rsidR="00AB10DB" w:rsidRPr="00D06FF2" w:rsidRDefault="009F11FB" w:rsidP="00D06FF2">
            <w:pPr>
              <w:jc w:val="center"/>
              <w:rPr>
                <w:bCs/>
                <w:sz w:val="16"/>
                <w:szCs w:val="16"/>
              </w:rPr>
            </w:pPr>
            <w:r>
              <w:rPr>
                <w:b/>
                <w:sz w:val="16"/>
                <w:szCs w:val="16"/>
              </w:rPr>
              <w:t>James Yost</w:t>
            </w:r>
          </w:p>
          <w:p w:rsidR="00AB10DB" w:rsidRPr="00D06FF2" w:rsidRDefault="009F11FB" w:rsidP="00D06FF2">
            <w:pPr>
              <w:jc w:val="center"/>
              <w:rPr>
                <w:bCs/>
                <w:sz w:val="16"/>
                <w:szCs w:val="16"/>
              </w:rPr>
            </w:pPr>
            <w:r>
              <w:rPr>
                <w:bCs/>
                <w:sz w:val="16"/>
                <w:szCs w:val="16"/>
              </w:rPr>
              <w:t>Idah</w:t>
            </w:r>
            <w:r w:rsidR="00AB10DB" w:rsidRPr="00D06FF2">
              <w:rPr>
                <w:bCs/>
                <w:sz w:val="16"/>
                <w:szCs w:val="16"/>
              </w:rPr>
              <w:t>o</w:t>
            </w:r>
          </w:p>
          <w:p w:rsidR="00AB10DB" w:rsidRPr="00D06FF2" w:rsidRDefault="00AB10DB" w:rsidP="00D06FF2">
            <w:pPr>
              <w:jc w:val="center"/>
              <w:rPr>
                <w:bCs/>
                <w:sz w:val="16"/>
                <w:szCs w:val="16"/>
              </w:rPr>
            </w:pPr>
          </w:p>
          <w:p w:rsidR="00AB10DB" w:rsidRPr="00D06FF2" w:rsidRDefault="009F11FB" w:rsidP="00D06FF2">
            <w:pPr>
              <w:jc w:val="center"/>
              <w:rPr>
                <w:bCs/>
                <w:sz w:val="16"/>
                <w:szCs w:val="16"/>
              </w:rPr>
            </w:pPr>
            <w:r>
              <w:rPr>
                <w:b/>
                <w:sz w:val="16"/>
                <w:szCs w:val="16"/>
              </w:rPr>
              <w:t>Pat Smith</w:t>
            </w:r>
          </w:p>
          <w:p w:rsidR="00AB10DB" w:rsidRPr="00D06FF2" w:rsidRDefault="009F11FB" w:rsidP="00D06FF2">
            <w:pPr>
              <w:jc w:val="center"/>
              <w:rPr>
                <w:bCs/>
                <w:sz w:val="16"/>
                <w:szCs w:val="16"/>
              </w:rPr>
            </w:pPr>
            <w:r>
              <w:rPr>
                <w:bCs/>
                <w:sz w:val="16"/>
                <w:szCs w:val="16"/>
              </w:rPr>
              <w:t>Montana</w:t>
            </w:r>
          </w:p>
          <w:p w:rsidR="00AB10DB" w:rsidRPr="00D06FF2" w:rsidRDefault="00AB10DB" w:rsidP="00D06FF2">
            <w:pPr>
              <w:jc w:val="center"/>
              <w:rPr>
                <w:bCs/>
                <w:sz w:val="16"/>
                <w:szCs w:val="16"/>
              </w:rPr>
            </w:pPr>
          </w:p>
          <w:p w:rsidR="00AB10DB" w:rsidRPr="00D06FF2" w:rsidRDefault="009F11FB" w:rsidP="00D06FF2">
            <w:pPr>
              <w:jc w:val="center"/>
              <w:rPr>
                <w:bCs/>
                <w:sz w:val="16"/>
                <w:szCs w:val="16"/>
              </w:rPr>
            </w:pPr>
            <w:r>
              <w:rPr>
                <w:b/>
                <w:sz w:val="16"/>
                <w:szCs w:val="16"/>
              </w:rPr>
              <w:t>Jennifer Anders</w:t>
            </w:r>
          </w:p>
          <w:p w:rsidR="00AB10DB" w:rsidRPr="00D06FF2" w:rsidRDefault="009F11FB" w:rsidP="00D06FF2">
            <w:pPr>
              <w:jc w:val="center"/>
              <w:rPr>
                <w:bCs/>
                <w:sz w:val="16"/>
                <w:szCs w:val="16"/>
              </w:rPr>
            </w:pPr>
            <w:r>
              <w:rPr>
                <w:bCs/>
                <w:sz w:val="16"/>
                <w:szCs w:val="16"/>
              </w:rPr>
              <w:t>Montana</w:t>
            </w:r>
          </w:p>
          <w:p w:rsidR="00AB10DB" w:rsidRPr="00D06FF2" w:rsidRDefault="00AB10DB" w:rsidP="00D06FF2">
            <w:pPr>
              <w:rPr>
                <w:b/>
                <w:sz w:val="16"/>
                <w:szCs w:val="16"/>
              </w:rPr>
            </w:pPr>
          </w:p>
        </w:tc>
      </w:tr>
    </w:tbl>
    <w:p w:rsidR="00AB10DB" w:rsidRPr="00D03ACB" w:rsidRDefault="00AB10DB" w:rsidP="00D06FF2">
      <w:pPr>
        <w:jc w:val="center"/>
        <w:rPr>
          <w:bCs/>
        </w:rPr>
      </w:pPr>
    </w:p>
    <w:p w:rsidR="00CD2585" w:rsidRPr="00276C61" w:rsidRDefault="00CD2585" w:rsidP="00CD2585">
      <w:pPr>
        <w:spacing w:before="240"/>
        <w:jc w:val="center"/>
        <w:outlineLvl w:val="2"/>
        <w:rPr>
          <w:b/>
          <w:bCs/>
          <w:sz w:val="28"/>
          <w:szCs w:val="28"/>
        </w:rPr>
      </w:pPr>
      <w:bookmarkStart w:id="0" w:name="_GoBack"/>
      <w:bookmarkEnd w:id="0"/>
      <w:r w:rsidRPr="00276C61">
        <w:rPr>
          <w:b/>
          <w:bCs/>
          <w:sz w:val="28"/>
          <w:szCs w:val="28"/>
        </w:rPr>
        <w:t>Charter of the Regional Technical Forum of the</w:t>
      </w:r>
      <w:r w:rsidRPr="00276C61">
        <w:rPr>
          <w:b/>
          <w:bCs/>
          <w:sz w:val="28"/>
          <w:szCs w:val="28"/>
        </w:rPr>
        <w:br/>
        <w:t>Northwest Power and Conservation Council</w:t>
      </w:r>
    </w:p>
    <w:p w:rsidR="00CD2585" w:rsidRDefault="00CD2585" w:rsidP="00CD2585">
      <w:pPr>
        <w:spacing w:before="100" w:beforeAutospacing="1" w:after="100" w:afterAutospacing="1"/>
      </w:pPr>
      <w:r>
        <w:rPr>
          <w:u w:val="single"/>
        </w:rPr>
        <w:t>Official Designation</w:t>
      </w:r>
      <w:r>
        <w:t>: This advisory committee will be known as the Pacific Northwest Electric Power and Conservation Planning Council's Regional Technical Forum.</w:t>
      </w:r>
    </w:p>
    <w:p w:rsidR="00CD2585" w:rsidRDefault="00CD2585" w:rsidP="00CD2585">
      <w:pPr>
        <w:spacing w:before="100" w:beforeAutospacing="1" w:after="100" w:afterAutospacing="1"/>
      </w:pPr>
      <w:r>
        <w:rPr>
          <w:u w:val="single"/>
        </w:rPr>
        <w:t>1. Background</w:t>
      </w:r>
      <w:r>
        <w:t>: In 1995, the Bonneville Power Administration (Bonneville) began to shift responsibility for financing and acquiring conservation savings to its utility customers to reduce Bonneville's costs and to allow utilities to better tailor their conservation programs to local situations. Congress recognized that this shift would likely result in a more diversified approach to conservation acquisition across the region. Consequently, in 1996 Congress directed Bonneville and the Northwest Power Planning Council (Council) to convene a regional technical forum to develop standardized protocols for verifying and evaluating conservation savings and to ensure that the region continues to meet the Council’s targets for securing cost-effective conservation. Congress further recommended that the forum's membership include individuals with technical expertise in conservation program planning, implementation, and evaluation and that the forum’s services be made available to all utilities in the Northwest.</w:t>
      </w:r>
    </w:p>
    <w:p w:rsidR="00CD2585" w:rsidRDefault="00CD2585" w:rsidP="00CD2585">
      <w:pPr>
        <w:spacing w:before="100" w:beforeAutospacing="1" w:after="100" w:afterAutospacing="1"/>
      </w:pPr>
      <w:r>
        <w:t xml:space="preserve">The 1996 Comprehensive Review of the Northwest Energy System (Comprehensive Review) recommended that the technical forum should, in addition to the Congressional directives, track conservation and renewable resource goals and </w:t>
      </w:r>
      <w:proofErr w:type="gramStart"/>
      <w:r>
        <w:t>provide</w:t>
      </w:r>
      <w:proofErr w:type="gramEnd"/>
      <w:r>
        <w:t xml:space="preserve"> feedback and suggestions for improving the effectiveness of conservation and renewable resource development programs in the region. The Comprehensive Review also recommended that the forum review the region's progress toward meeting its conservation and renewable resource goals at least every five years and communicate to appropriate decision-makers any resulting recommendations for improving the effectiveness of the region’s conservation and renewable resource programs.</w:t>
      </w:r>
    </w:p>
    <w:p w:rsidR="00CD2585" w:rsidRDefault="00CD2585" w:rsidP="00CD2585">
      <w:pPr>
        <w:spacing w:before="100" w:beforeAutospacing="1" w:after="100" w:afterAutospacing="1"/>
      </w:pPr>
      <w:r>
        <w:t>In February 1999, Bonneville’s Administrator requested the Council also task the forum with providing specific recommendations to Bonneville to assist it in implementing a conservation and renewable rate discount.</w:t>
      </w:r>
    </w:p>
    <w:p w:rsidR="00CD2585" w:rsidRDefault="00CD2585" w:rsidP="00CD2585">
      <w:pPr>
        <w:spacing w:before="100" w:beforeAutospacing="1" w:after="100" w:afterAutospacing="1"/>
      </w:pPr>
      <w:r>
        <w:lastRenderedPageBreak/>
        <w:t xml:space="preserve">The Pacific Northwest Electric Power Planning and Conservation Act (Act), P.L. 96-501, 16 U.S.C. 839 et seq. in Section 4 authorizes the Council to “. </w:t>
      </w:r>
      <w:proofErr w:type="gramStart"/>
      <w:r>
        <w:t>establish</w:t>
      </w:r>
      <w:proofErr w:type="gramEnd"/>
      <w:r>
        <w:t xml:space="preserve"> such other voluntary advisory committees as it determines are necessary or appropriate to assist it in carrying out its functions and responsibilities . ". In April 1999, the Council voted to charter the Regional Technical Forum (RTF) as an advisory committee to the Council.</w:t>
      </w:r>
    </w:p>
    <w:p w:rsidR="00CD2585" w:rsidRDefault="00CD2585" w:rsidP="00CD2585">
      <w:pPr>
        <w:spacing w:before="100" w:beforeAutospacing="1" w:after="100" w:afterAutospacing="1"/>
      </w:pPr>
      <w:r>
        <w:t>In 2010, recognizing the growing scale and importance of the RTF’s work in the region, the Northwest Energy Efficiency Taskforce (NEET) recommended that the scope and operations of the RTF be reevaluated. This revised charter addresses issues raised during the RTF reevaluation process.</w:t>
      </w:r>
    </w:p>
    <w:p w:rsidR="00CD2585" w:rsidRDefault="00CD2585" w:rsidP="00CD2585">
      <w:pPr>
        <w:spacing w:before="100" w:beforeAutospacing="1" w:after="100" w:afterAutospacing="1"/>
      </w:pPr>
      <w:r>
        <w:rPr>
          <w:u w:val="single"/>
        </w:rPr>
        <w:t>2. Authority</w:t>
      </w:r>
      <w:r>
        <w:t>: The RTF is established as part of a network of advisory committees satisfying the Council's obligation under the Act to establish a Scientific and Statistical Advisory Committee. (Section 4(c</w:t>
      </w:r>
      <w:proofErr w:type="gramStart"/>
      <w:r>
        <w:t>)(</w:t>
      </w:r>
      <w:proofErr w:type="gramEnd"/>
      <w:r>
        <w:t>11)).</w:t>
      </w:r>
    </w:p>
    <w:p w:rsidR="00CD2585" w:rsidRDefault="00CD2585" w:rsidP="00CD2585">
      <w:pPr>
        <w:spacing w:before="100" w:beforeAutospacing="1" w:after="100" w:afterAutospacing="1"/>
      </w:pPr>
      <w:r>
        <w:rPr>
          <w:u w:val="single"/>
        </w:rPr>
        <w:t>3. Objectives and Scope of Activity</w:t>
      </w:r>
      <w:r>
        <w:t xml:space="preserve">: </w:t>
      </w:r>
    </w:p>
    <w:p w:rsidR="00CD2585" w:rsidRDefault="00CD2585" w:rsidP="00CD2585">
      <w:pPr>
        <w:spacing w:before="100" w:beforeAutospacing="1" w:after="100" w:afterAutospacing="1"/>
      </w:pPr>
      <w:r>
        <w:t xml:space="preserve">Consistent with the Congressional directive calling for the establishment of a regional technical forum and the 2010 recommendations from the NEET Review, the RTF shall advise the Council during the development and implementation of its power plan by: </w:t>
      </w:r>
    </w:p>
    <w:p w:rsidR="00CD2585" w:rsidRPr="00CD2585" w:rsidRDefault="00CD2585" w:rsidP="00CD2585">
      <w:pPr>
        <w:pStyle w:val="ListParagraph"/>
        <w:numPr>
          <w:ilvl w:val="0"/>
          <w:numId w:val="15"/>
        </w:numPr>
        <w:spacing w:before="100" w:beforeAutospacing="1" w:after="100" w:afterAutospacing="1"/>
        <w:ind w:left="720"/>
        <w:rPr>
          <w:rFonts w:ascii="Arial" w:hAnsi="Arial" w:cs="Arial"/>
        </w:rPr>
      </w:pPr>
      <w:r w:rsidRPr="00CD2585">
        <w:rPr>
          <w:rFonts w:ascii="Arial" w:hAnsi="Arial" w:cs="Arial"/>
        </w:rPr>
        <w:t xml:space="preserve">Developing and maintaining a readily accessible list of eligible conservation resources, the estimated lifetime costs and savings associated with those resources, and the estimated regional power system value associated with those savings;  </w:t>
      </w:r>
    </w:p>
    <w:p w:rsidR="00CD2585" w:rsidRPr="00CD2585" w:rsidRDefault="00CD2585" w:rsidP="00CD2585">
      <w:pPr>
        <w:pStyle w:val="ListParagraph"/>
        <w:numPr>
          <w:ilvl w:val="0"/>
          <w:numId w:val="15"/>
        </w:numPr>
        <w:spacing w:before="100" w:beforeAutospacing="1" w:after="100" w:afterAutospacing="1"/>
        <w:ind w:left="720"/>
        <w:rPr>
          <w:rFonts w:ascii="Arial" w:hAnsi="Arial" w:cs="Arial"/>
        </w:rPr>
      </w:pPr>
      <w:r w:rsidRPr="00CD2585">
        <w:rPr>
          <w:rFonts w:ascii="Arial" w:hAnsi="Arial" w:cs="Arial"/>
        </w:rPr>
        <w:t>Establishing a process for updating the list of eligible conservation resources as technology and standard practices change, and an appeals process through which utilities, trade allies, and customers can demonstrate that different savings and value estimates should apply;</w:t>
      </w:r>
    </w:p>
    <w:p w:rsidR="00CD2585" w:rsidRPr="00CD2585" w:rsidRDefault="00CD2585" w:rsidP="00CD2585">
      <w:pPr>
        <w:pStyle w:val="ListParagraph"/>
        <w:numPr>
          <w:ilvl w:val="0"/>
          <w:numId w:val="15"/>
        </w:numPr>
        <w:ind w:left="720"/>
        <w:rPr>
          <w:rFonts w:ascii="Arial" w:hAnsi="Arial" w:cs="Arial"/>
        </w:rPr>
      </w:pPr>
      <w:r w:rsidRPr="00CD2585">
        <w:rPr>
          <w:rFonts w:ascii="Arial" w:hAnsi="Arial" w:cs="Arial"/>
        </w:rPr>
        <w:t>Developing a set of protocols by which the savings and system value of  conservation resources should be estimated with a process for applying the protocols to existing or new measures;</w:t>
      </w:r>
    </w:p>
    <w:p w:rsidR="00CD2585" w:rsidRPr="00CD2585" w:rsidRDefault="00CD2585" w:rsidP="00CD2585">
      <w:pPr>
        <w:pStyle w:val="ListParagraph"/>
        <w:numPr>
          <w:ilvl w:val="0"/>
          <w:numId w:val="15"/>
        </w:numPr>
        <w:ind w:left="720"/>
        <w:rPr>
          <w:rFonts w:ascii="Arial" w:hAnsi="Arial" w:cs="Arial"/>
        </w:rPr>
      </w:pPr>
      <w:r w:rsidRPr="00CD2585">
        <w:rPr>
          <w:rFonts w:ascii="Arial" w:hAnsi="Arial" w:cs="Arial"/>
        </w:rPr>
        <w:t>Assisting the Council in assessing: 1) the current performance, cost and availability of new conservation technologies and measures; 2) technology development trends; and 3) the effect of these trends on the future performance, cost and availability of new conservation resources;</w:t>
      </w:r>
    </w:p>
    <w:p w:rsidR="00CD2585" w:rsidRPr="00CD2585" w:rsidRDefault="00CD2585" w:rsidP="00CD2585">
      <w:pPr>
        <w:pStyle w:val="ListParagraph"/>
        <w:numPr>
          <w:ilvl w:val="0"/>
          <w:numId w:val="15"/>
        </w:numPr>
        <w:ind w:left="720"/>
        <w:rPr>
          <w:rFonts w:ascii="Arial" w:hAnsi="Arial" w:cs="Arial"/>
        </w:rPr>
      </w:pPr>
      <w:r w:rsidRPr="00CD2585">
        <w:rPr>
          <w:rFonts w:ascii="Arial" w:hAnsi="Arial" w:cs="Arial"/>
        </w:rPr>
        <w:t>Tracking regional progress toward the achievement of the region's conservation targets by collecting and reporting on regional research findings and energy savings annually.</w:t>
      </w:r>
    </w:p>
    <w:p w:rsidR="00CD2585" w:rsidRDefault="00CD2585" w:rsidP="00CD2585"/>
    <w:p w:rsidR="00CD2585" w:rsidRDefault="00CD2585" w:rsidP="00CD2585">
      <w:r>
        <w:t>In carrying out the above responsibilities, the RTF shall develop annual work plans and multi-year business plans. Additionally, the RTF shall make budget recommendations to the Council based on the RTF work plans. The Council shall be responsible for approving the RTF’s work plans and budget, along with any significant modifications the RTF may make to the work plans or budget throughout the course of the fiscal year.</w:t>
      </w:r>
    </w:p>
    <w:p w:rsidR="00CD2585" w:rsidRDefault="00CD2585" w:rsidP="00CD2585">
      <w:pPr>
        <w:spacing w:before="100" w:beforeAutospacing="1" w:after="100" w:afterAutospacing="1"/>
      </w:pPr>
      <w:r>
        <w:lastRenderedPageBreak/>
        <w:t xml:space="preserve">4. </w:t>
      </w:r>
      <w:r>
        <w:rPr>
          <w:u w:val="single"/>
        </w:rPr>
        <w:t>Official to Whom the Advisory Committee Reports</w:t>
      </w:r>
      <w:r>
        <w:t>: The Regional Technical Forum will report to the Executive Director of the Council.</w:t>
      </w:r>
    </w:p>
    <w:p w:rsidR="00CD2585" w:rsidRDefault="00CD2585" w:rsidP="00CD2585">
      <w:pPr>
        <w:spacing w:before="100" w:beforeAutospacing="1" w:after="100" w:afterAutospacing="1"/>
      </w:pPr>
      <w:r>
        <w:t xml:space="preserve">5. </w:t>
      </w:r>
      <w:r>
        <w:rPr>
          <w:u w:val="single"/>
        </w:rPr>
        <w:t>Authority of the Advisory Committee</w:t>
      </w:r>
      <w:r>
        <w:t>: The Regional Technical Forum will serve in an advisory capacity only. Neither the Regional Technical Forum nor members who are not also members of the Council staff are authorized to make statements or commitments on behalf of the Council.</w:t>
      </w:r>
    </w:p>
    <w:p w:rsidR="00CD2585" w:rsidRDefault="00CD2585" w:rsidP="00CD2585">
      <w:pPr>
        <w:spacing w:before="100" w:beforeAutospacing="1" w:after="100" w:afterAutospacing="1"/>
      </w:pPr>
      <w:r>
        <w:t xml:space="preserve">6. </w:t>
      </w:r>
      <w:r>
        <w:rPr>
          <w:u w:val="single"/>
        </w:rPr>
        <w:t>Estimated Annual Operating Costs in Dollars and Staff Time</w:t>
      </w:r>
      <w:r>
        <w:t>: The RTF budget recommended to the Council for approval will be based on work plans that are approved by the Council with input from the RTF Policy Advisory Committee. RTF funders include Bonneville Power Administration, investor-owned utilities, the Energy Trust of Oregon, customer-owned utilities and other organizations within and without the region. In addition, the Council contributes staff support and management to the RTF.</w:t>
      </w:r>
    </w:p>
    <w:p w:rsidR="00CD2585" w:rsidRDefault="00CD2585" w:rsidP="00CD2585">
      <w:pPr>
        <w:spacing w:before="100" w:beforeAutospacing="1" w:after="100" w:afterAutospacing="1"/>
      </w:pPr>
      <w:r>
        <w:t xml:space="preserve">7. </w:t>
      </w:r>
      <w:r>
        <w:rPr>
          <w:u w:val="single"/>
        </w:rPr>
        <w:t>Appointment of Advisory Committee Members and Staff</w:t>
      </w:r>
      <w:r>
        <w:t xml:space="preserve">: </w:t>
      </w:r>
    </w:p>
    <w:p w:rsidR="00CD2585" w:rsidRDefault="00CD2585" w:rsidP="00CD2585">
      <w:pPr>
        <w:spacing w:before="100" w:beforeAutospacing="1" w:after="100" w:afterAutospacing="1"/>
      </w:pPr>
      <w:commentRangeStart w:id="1"/>
      <w:proofErr w:type="gramStart"/>
      <w:r>
        <w:rPr>
          <w:u w:val="single"/>
        </w:rPr>
        <w:t>Voting Members</w:t>
      </w:r>
      <w:r>
        <w:t>.</w:t>
      </w:r>
      <w:proofErr w:type="gramEnd"/>
      <w:r>
        <w:t xml:space="preserve"> </w:t>
      </w:r>
      <w:commentRangeEnd w:id="1"/>
      <w:r w:rsidR="006841D2">
        <w:rPr>
          <w:rStyle w:val="CommentReference"/>
        </w:rPr>
        <w:commentReference w:id="1"/>
      </w:r>
      <w:r w:rsidRPr="006841D2">
        <w:rPr>
          <w:highlight w:val="yellow"/>
        </w:rPr>
        <w:t>Approximately every three years</w:t>
      </w:r>
      <w:r>
        <w:t>, the Council, in consultation with the Chair of the Power Committee and Director of the Power Division, will appoint the RTF's voting members. In appointing members, the Council will ensure that membership is fairly balanced in terms of technical expertise, sector experience, technology focus, policy experience and institutional experience. The process for nomination and selection of RTF voting members shall be described in the RTF bylaws.</w:t>
      </w:r>
    </w:p>
    <w:p w:rsidR="00CD2585" w:rsidRDefault="00CD2585" w:rsidP="00CD2585">
      <w:pPr>
        <w:spacing w:before="100" w:beforeAutospacing="1" w:after="100" w:afterAutospacing="1"/>
      </w:pPr>
      <w:r>
        <w:t xml:space="preserve">The state utility regulatory commissions from Idaho, Montana, Oregon and Washington shall be offered the opportunity to participate as </w:t>
      </w:r>
      <w:r>
        <w:rPr>
          <w:i/>
          <w:iCs/>
        </w:rPr>
        <w:t xml:space="preserve">Ex Officio </w:t>
      </w:r>
      <w:r>
        <w:rPr>
          <w:iCs/>
        </w:rPr>
        <w:t>non-voting</w:t>
      </w:r>
      <w:r>
        <w:rPr>
          <w:i/>
          <w:iCs/>
        </w:rPr>
        <w:t xml:space="preserve"> </w:t>
      </w:r>
      <w:r>
        <w:t>members of the RTF or to serve as voting members at their discretion.</w:t>
      </w:r>
    </w:p>
    <w:p w:rsidR="00CD2585" w:rsidRDefault="00CD2585" w:rsidP="00CD2585">
      <w:pPr>
        <w:spacing w:before="100" w:beforeAutospacing="1" w:after="100" w:afterAutospacing="1"/>
      </w:pPr>
      <w:r>
        <w:t>The RTF shall have a minimum of twenty (20) and a maximum of thirty (30) voting members.</w:t>
      </w:r>
    </w:p>
    <w:p w:rsidR="00CD2585" w:rsidRDefault="00CD2585" w:rsidP="00CD2585">
      <w:pPr>
        <w:spacing w:before="100" w:beforeAutospacing="1" w:after="100" w:afterAutospacing="1"/>
      </w:pPr>
      <w:proofErr w:type="gramStart"/>
      <w:r>
        <w:rPr>
          <w:u w:val="single"/>
        </w:rPr>
        <w:t>Non-voting Members</w:t>
      </w:r>
      <w:r>
        <w:t>.</w:t>
      </w:r>
      <w:proofErr w:type="gramEnd"/>
      <w:r>
        <w:t xml:space="preserve"> The Director of the Council’s Power Division, in consultation with the Chair of the Power Committee, may appoint corresponding members, ex officio members, and interested parties as non-voting members of the RTF.</w:t>
      </w:r>
    </w:p>
    <w:p w:rsidR="00CD2585" w:rsidRDefault="00CD2585" w:rsidP="00CD2585">
      <w:pPr>
        <w:spacing w:before="100" w:beforeAutospacing="1" w:after="100" w:afterAutospacing="1"/>
      </w:pPr>
      <w:proofErr w:type="gramStart"/>
      <w:r>
        <w:rPr>
          <w:u w:val="single"/>
        </w:rPr>
        <w:t>Staff</w:t>
      </w:r>
      <w:r>
        <w:t>.</w:t>
      </w:r>
      <w:proofErr w:type="gramEnd"/>
      <w:r>
        <w:t xml:space="preserve"> The Director of the Council's Power Division will designate members of the Council's staff to attend meetings of the RTF and serve as staff to the RTF.</w:t>
      </w:r>
    </w:p>
    <w:p w:rsidR="00CD2585" w:rsidRDefault="00CD2585" w:rsidP="00CD2585">
      <w:pPr>
        <w:spacing w:before="100" w:beforeAutospacing="1" w:after="100" w:afterAutospacing="1"/>
      </w:pPr>
      <w:r>
        <w:t xml:space="preserve">8. </w:t>
      </w:r>
      <w:r>
        <w:rPr>
          <w:u w:val="single"/>
        </w:rPr>
        <w:t>Rules</w:t>
      </w:r>
      <w:r>
        <w:t>:  The advisory committee rules approved and adopted by the Council on March 17, 1982, as amended from time to time, will apply to the RTF.</w:t>
      </w:r>
    </w:p>
    <w:p w:rsidR="00CD2585" w:rsidRDefault="00CD2585" w:rsidP="00CD2585">
      <w:pPr>
        <w:spacing w:before="100" w:beforeAutospacing="1" w:after="100" w:afterAutospacing="1"/>
      </w:pPr>
      <w:r>
        <w:t>The RTF shall develop bylaws and amend them from time to time. Adoption or amendment of bylaws requires the affirmative vote of a two-thirds majority of the voting members of the RTF and Council approval.</w:t>
      </w:r>
    </w:p>
    <w:p w:rsidR="00CD2585" w:rsidRDefault="00CD2585" w:rsidP="00CD2585">
      <w:pPr>
        <w:spacing w:before="100" w:beforeAutospacing="1" w:after="100" w:afterAutospacing="1"/>
      </w:pPr>
      <w:r>
        <w:t>The RTF may also develop and publish an operations manual if experience demonstrates such a document would promote the RTF’s goals and objectives.</w:t>
      </w:r>
    </w:p>
    <w:p w:rsidR="00CD2585" w:rsidRDefault="00CD2585" w:rsidP="00CD2585">
      <w:pPr>
        <w:spacing w:before="100" w:beforeAutospacing="1" w:after="100" w:afterAutospacing="1"/>
      </w:pPr>
      <w:r>
        <w:t xml:space="preserve">9. </w:t>
      </w:r>
      <w:r>
        <w:rPr>
          <w:u w:val="single"/>
        </w:rPr>
        <w:t>Chair</w:t>
      </w:r>
      <w:r>
        <w:t xml:space="preserve">: </w:t>
      </w:r>
    </w:p>
    <w:p w:rsidR="00CD2585" w:rsidRDefault="00CD2585" w:rsidP="00CD2585">
      <w:pPr>
        <w:ind w:left="720"/>
      </w:pPr>
      <w:r>
        <w:t>(A) The Council, in consultation with the Chair of the Power Committee and Director of the Power Division shall appoint a RTF Chair.</w:t>
      </w:r>
    </w:p>
    <w:p w:rsidR="00CD2585" w:rsidRDefault="00CD2585" w:rsidP="00CD2585">
      <w:pPr>
        <w:ind w:left="720"/>
      </w:pPr>
      <w:r>
        <w:t xml:space="preserve">   </w:t>
      </w:r>
    </w:p>
    <w:p w:rsidR="00CD2585" w:rsidRDefault="00CD2585" w:rsidP="00CD2585">
      <w:pPr>
        <w:ind w:left="720"/>
      </w:pPr>
      <w:r>
        <w:t>(B) The Chair may be called upon to report to the Executive Director of the Council on appropriate matters, including the RTF’s progress on its work plan and responsibilities.</w:t>
      </w:r>
    </w:p>
    <w:p w:rsidR="00CD2585" w:rsidRDefault="00CD2585" w:rsidP="00CD2585">
      <w:pPr>
        <w:ind w:left="720"/>
      </w:pPr>
    </w:p>
    <w:p w:rsidR="00CD2585" w:rsidRDefault="00CD2585" w:rsidP="00CD2585">
      <w:pPr>
        <w:ind w:left="720"/>
      </w:pPr>
      <w:r>
        <w:t>(C) The Chair will preside over RTF meetings, ensure that detailed minutes of such meetings are prepared and submitted to the Executive Director of the Council in a timely manner, and maintain communication between the RTF and the Council and the RTF Policy Advisory Committee as necessary.</w:t>
      </w:r>
    </w:p>
    <w:p w:rsidR="00CD2585" w:rsidRDefault="00CD2585" w:rsidP="00CD2585">
      <w:pPr>
        <w:ind w:left="720"/>
      </w:pPr>
    </w:p>
    <w:p w:rsidR="00CD2585" w:rsidRDefault="00CD2585" w:rsidP="00CD2585">
      <w:pPr>
        <w:ind w:left="720"/>
      </w:pPr>
      <w:r>
        <w:t>(D)  The Chair is a voting member of the RTF. The Chair shall vote only in cases where his/her vote will affect the result, i.e. the Chair can vote either to cause or to block the attainment of the necessary sixty percent or two-thirds vote.</w:t>
      </w:r>
    </w:p>
    <w:p w:rsidR="00CD2585" w:rsidRDefault="00CD2585" w:rsidP="00CD2585">
      <w:pPr>
        <w:ind w:left="720"/>
      </w:pPr>
    </w:p>
    <w:p w:rsidR="00CD2585" w:rsidRDefault="00CD2585" w:rsidP="00CD2585">
      <w:r>
        <w:t xml:space="preserve">10. </w:t>
      </w:r>
      <w:r>
        <w:rPr>
          <w:u w:val="single"/>
        </w:rPr>
        <w:t>Vice-Chair</w:t>
      </w:r>
      <w:r>
        <w:t xml:space="preserve">: </w:t>
      </w:r>
    </w:p>
    <w:p w:rsidR="00CD2585" w:rsidRDefault="00CD2585" w:rsidP="00CD2585">
      <w:pPr>
        <w:ind w:left="720"/>
      </w:pPr>
    </w:p>
    <w:p w:rsidR="00CD2585" w:rsidRDefault="00CD2585" w:rsidP="00CD2585">
      <w:pPr>
        <w:ind w:left="720"/>
      </w:pPr>
      <w:r>
        <w:t>(A) The Council, in consultation with the Chair of the Power Committee and Director of the Power Division shall appoint a RTF Vice-Chair.</w:t>
      </w:r>
    </w:p>
    <w:p w:rsidR="00CD2585" w:rsidRDefault="00CD2585" w:rsidP="00CD2585">
      <w:pPr>
        <w:ind w:left="1440"/>
      </w:pPr>
      <w:r>
        <w:t xml:space="preserve">  </w:t>
      </w:r>
    </w:p>
    <w:p w:rsidR="00CD2585" w:rsidRDefault="00CD2585" w:rsidP="00CD2585">
      <w:pPr>
        <w:ind w:left="720"/>
      </w:pPr>
      <w:r>
        <w:t>(B) The Vice-Chair will perform the duties of the Chair of the Regional Technical Forum in the absence of that Chair and such other duties as the Chair may assign.</w:t>
      </w:r>
    </w:p>
    <w:p w:rsidR="00CD2585" w:rsidRDefault="00CD2585" w:rsidP="00CD2585">
      <w:pPr>
        <w:ind w:left="1440"/>
      </w:pPr>
    </w:p>
    <w:p w:rsidR="00CD2585" w:rsidRDefault="00CD2585" w:rsidP="00CD2585">
      <w:pPr>
        <w:ind w:firstLine="720"/>
      </w:pPr>
      <w:r>
        <w:t>(C) The Vice-Chair is a voting member of the RTF.</w:t>
      </w:r>
    </w:p>
    <w:p w:rsidR="00CD2585" w:rsidRDefault="00CD2585" w:rsidP="00CD2585">
      <w:pPr>
        <w:ind w:left="1440"/>
      </w:pPr>
    </w:p>
    <w:p w:rsidR="00CD2585" w:rsidRDefault="00CD2585" w:rsidP="00CD2585">
      <w:r>
        <w:t xml:space="preserve">11. </w:t>
      </w:r>
      <w:r>
        <w:rPr>
          <w:u w:val="single"/>
        </w:rPr>
        <w:t>Voting</w:t>
      </w:r>
      <w:r>
        <w:t xml:space="preserve">:  </w:t>
      </w:r>
    </w:p>
    <w:p w:rsidR="00CD2585" w:rsidRDefault="00CD2585" w:rsidP="00CD2585">
      <w:pPr>
        <w:tabs>
          <w:tab w:val="decimal" w:pos="1591"/>
          <w:tab w:val="right" w:pos="9113"/>
        </w:tabs>
        <w:spacing w:before="252"/>
      </w:pPr>
      <w:r>
        <w:t>The affirmative vote of at least sixty (60) percent of the Voting Members participating in a vote but no less than forty (40) percent of the total number of RTF Voting Members shall be the act of the committee unless a different number is required by law, the RTF charter, or the bylaws.</w:t>
      </w:r>
    </w:p>
    <w:p w:rsidR="00CD2585" w:rsidRDefault="00CD2585" w:rsidP="00CD2585">
      <w:pPr>
        <w:tabs>
          <w:tab w:val="decimal" w:pos="1591"/>
          <w:tab w:val="right" w:pos="9113"/>
        </w:tabs>
        <w:spacing w:before="252"/>
      </w:pPr>
      <w:r>
        <w:t>Proxies shall not be allowed.</w:t>
      </w:r>
    </w:p>
    <w:p w:rsidR="00CD2585" w:rsidRDefault="00CD2585" w:rsidP="00CD2585">
      <w:pPr>
        <w:tabs>
          <w:tab w:val="decimal" w:pos="1591"/>
          <w:tab w:val="right" w:pos="9113"/>
        </w:tabs>
        <w:spacing w:before="252"/>
      </w:pPr>
      <w:r>
        <w:t xml:space="preserve">A Voting Member may abstain from a vote. An abstention will not be counted as either a “yes” or “no” vote. A member who abstains from a vote is not counted as “participating in a vote.”  </w:t>
      </w:r>
    </w:p>
    <w:p w:rsidR="00CD2585" w:rsidRDefault="00CD2585" w:rsidP="00CD2585">
      <w:pPr>
        <w:tabs>
          <w:tab w:val="decimal" w:pos="1591"/>
          <w:tab w:val="right" w:pos="9113"/>
        </w:tabs>
        <w:spacing w:before="252"/>
      </w:pPr>
      <w:r>
        <w:t>“Voting Members” are persons appointed by the Council pursuant to Section 7 of this charter.</w:t>
      </w:r>
    </w:p>
    <w:p w:rsidR="00CD2585" w:rsidRDefault="00CD2585" w:rsidP="00CD2585">
      <w:pPr>
        <w:tabs>
          <w:tab w:val="decimal" w:pos="1591"/>
          <w:tab w:val="right" w:pos="9113"/>
        </w:tabs>
        <w:spacing w:before="252"/>
      </w:pPr>
      <w:r>
        <w:t>The RTF shall abide by the RTF Conflicts of Interest Policy at all times.</w:t>
      </w:r>
    </w:p>
    <w:p w:rsidR="00E2752D" w:rsidRDefault="00E2752D">
      <w:pPr>
        <w:spacing w:after="200" w:line="276" w:lineRule="auto"/>
      </w:pPr>
      <w:r>
        <w:br w:type="page"/>
      </w:r>
    </w:p>
    <w:p w:rsidR="00CD2585" w:rsidRDefault="00CD2585" w:rsidP="00CD2585">
      <w:pPr>
        <w:spacing w:before="100" w:beforeAutospacing="1" w:after="100" w:afterAutospacing="1"/>
      </w:pPr>
      <w:r>
        <w:t xml:space="preserve">12. </w:t>
      </w:r>
      <w:r>
        <w:rPr>
          <w:u w:val="single"/>
        </w:rPr>
        <w:t>Meetings</w:t>
      </w:r>
      <w:r>
        <w:t xml:space="preserve">: </w:t>
      </w:r>
    </w:p>
    <w:p w:rsidR="00CD2585" w:rsidRDefault="00CD2585" w:rsidP="00CD2585">
      <w:pPr>
        <w:spacing w:before="100" w:beforeAutospacing="1" w:after="100" w:afterAutospacing="1"/>
      </w:pPr>
      <w:proofErr w:type="gramStart"/>
      <w:r>
        <w:rPr>
          <w:u w:val="single"/>
        </w:rPr>
        <w:t>Regular Meetings</w:t>
      </w:r>
      <w:r>
        <w:t>.</w:t>
      </w:r>
      <w:proofErr w:type="gramEnd"/>
      <w:r>
        <w:t xml:space="preserve"> The Chair of the RTF, after consultation with the Director of the Power Planning Division, or his designee, will call meetings as necessary. It is estimated that RTF meetings will occur at approximately monthly intervals.</w:t>
      </w:r>
    </w:p>
    <w:p w:rsidR="00CD2585" w:rsidRDefault="00CD2585" w:rsidP="00CD2585">
      <w:pPr>
        <w:spacing w:before="100" w:beforeAutospacing="1" w:after="100" w:afterAutospacing="1"/>
      </w:pPr>
      <w:r>
        <w:t>The RTF will provide remote access to its meetings through such means as live webinars and/or conference calls. In recognition of the inherent difference between in-person and remote attendance, RTF meetings will be conducted in a manner that facilitates active engagement and participation by remote access attendees.</w:t>
      </w:r>
    </w:p>
    <w:p w:rsidR="00CD2585" w:rsidRDefault="00CD2585" w:rsidP="00CD2585">
      <w:pPr>
        <w:spacing w:before="100" w:beforeAutospacing="1" w:after="100" w:afterAutospacing="1"/>
      </w:pPr>
      <w:proofErr w:type="gramStart"/>
      <w:r>
        <w:rPr>
          <w:u w:val="single"/>
        </w:rPr>
        <w:t>Special Meetings</w:t>
      </w:r>
      <w:r>
        <w:t>.</w:t>
      </w:r>
      <w:proofErr w:type="gramEnd"/>
      <w:r>
        <w:t xml:space="preserve"> Special meetings may be called by the RTF Chair. RTF members may request the RTF Chair call a special meeting.</w:t>
      </w:r>
    </w:p>
    <w:p w:rsidR="00CD2585" w:rsidRDefault="00CD2585" w:rsidP="00CD2585">
      <w:pPr>
        <w:spacing w:before="100" w:beforeAutospacing="1" w:after="100" w:afterAutospacing="1"/>
      </w:pPr>
      <w:proofErr w:type="gramStart"/>
      <w:r>
        <w:rPr>
          <w:u w:val="single"/>
        </w:rPr>
        <w:t>Public Meetings</w:t>
      </w:r>
      <w:r>
        <w:t>.</w:t>
      </w:r>
      <w:proofErr w:type="gramEnd"/>
      <w:r>
        <w:t xml:space="preserve"> All meetings will be open to the public, unless closed pursuant to 5 U.S.C. §552b(c). Timely notice of meetings, including agendas, will be made. Interested persons may attend RTF meetings and appear before or file statements with the RTF, subject to such reasonable rules as the Council may prescribe.</w:t>
      </w:r>
    </w:p>
    <w:p w:rsidR="00CD2585" w:rsidRDefault="00CD2585" w:rsidP="00CD2585">
      <w:pPr>
        <w:spacing w:before="100" w:beforeAutospacing="1" w:after="100" w:afterAutospacing="1"/>
      </w:pPr>
      <w:r>
        <w:t xml:space="preserve">13. </w:t>
      </w:r>
      <w:r>
        <w:rPr>
          <w:u w:val="single"/>
        </w:rPr>
        <w:t>Duration</w:t>
      </w:r>
      <w:r>
        <w:t>: The RTF will serve as a standing advisory committee to the Council, unless terminated in accordance with the Federal Advisory Committee Act.</w:t>
      </w:r>
    </w:p>
    <w:p w:rsidR="00CD2585" w:rsidRDefault="00CD2585" w:rsidP="00CD2585">
      <w:pPr>
        <w:pBdr>
          <w:bottom w:val="single" w:sz="12" w:space="1" w:color="auto"/>
        </w:pBdr>
        <w:spacing w:before="100" w:beforeAutospacing="1" w:after="100" w:afterAutospacing="1"/>
      </w:pPr>
      <w:r>
        <w:t xml:space="preserve">14. </w:t>
      </w:r>
      <w:r>
        <w:rPr>
          <w:u w:val="single"/>
        </w:rPr>
        <w:t>Amendment</w:t>
      </w:r>
      <w:r>
        <w:t>:  This Charter may only be amended with the approval of two-thirds of the Voting Members of the RTF and subsequent Council approval.</w:t>
      </w:r>
    </w:p>
    <w:p w:rsidR="00CD2585" w:rsidRPr="0065242B" w:rsidRDefault="00CD2585" w:rsidP="00CD2585">
      <w:pPr>
        <w:pBdr>
          <w:bottom w:val="single" w:sz="12" w:space="1" w:color="auto"/>
        </w:pBdr>
        <w:spacing w:before="100" w:beforeAutospacing="1" w:after="100" w:afterAutospacing="1"/>
      </w:pPr>
      <w:r w:rsidRPr="0065242B">
        <w:t xml:space="preserve">This revised Charter for the RTF was approved and adopted at a duly noticed meeting of the Northwest Power and Conservation Council on </w:t>
      </w:r>
      <w:r w:rsidRPr="00CD2585">
        <w:rPr>
          <w:highlight w:val="yellow"/>
        </w:rPr>
        <w:t>March 1</w:t>
      </w:r>
      <w:r w:rsidR="00E2752D">
        <w:rPr>
          <w:highlight w:val="yellow"/>
        </w:rPr>
        <w:t>0, 2015</w:t>
      </w:r>
      <w:r w:rsidRPr="00CD2585">
        <w:rPr>
          <w:highlight w:val="yellow"/>
        </w:rPr>
        <w:t xml:space="preserve"> in </w:t>
      </w:r>
      <w:r w:rsidR="00E2752D">
        <w:rPr>
          <w:highlight w:val="yellow"/>
        </w:rPr>
        <w:t>Eugene</w:t>
      </w:r>
      <w:r w:rsidRPr="00CD2585">
        <w:rPr>
          <w:highlight w:val="yellow"/>
        </w:rPr>
        <w:t>, Oregon</w:t>
      </w:r>
      <w:r w:rsidRPr="0065242B">
        <w:t>.</w:t>
      </w:r>
    </w:p>
    <w:p w:rsidR="00CD2585" w:rsidRPr="0065242B" w:rsidRDefault="00CD2585" w:rsidP="00CD2585">
      <w:pPr>
        <w:pBdr>
          <w:bottom w:val="single" w:sz="12" w:space="1" w:color="auto"/>
        </w:pBdr>
        <w:spacing w:before="100" w:beforeAutospacing="1" w:after="100" w:afterAutospacing="1"/>
        <w:ind w:left="3600" w:firstLine="720"/>
        <w:rPr>
          <w:rFonts w:ascii="Times New Roman  BBY" w:hAnsi="Times New Roman  BBY" w:cs="Times New Roman  BBY"/>
          <w:b/>
          <w:sz w:val="96"/>
          <w:szCs w:val="96"/>
        </w:rPr>
      </w:pPr>
      <w:r w:rsidRPr="0065242B">
        <w:rPr>
          <w:rFonts w:ascii="Times New Roman  BBY" w:hAnsi="Times New Roman  BBY" w:cs="Times New Roman  BBY"/>
          <w:b/>
          <w:sz w:val="96"/>
          <w:szCs w:val="96"/>
        </w:rPr>
        <w:t>~</w:t>
      </w:r>
    </w:p>
    <w:p w:rsidR="00CD2585" w:rsidRPr="0065242B" w:rsidRDefault="00CD2585" w:rsidP="00CD2585">
      <w:pPr>
        <w:pBdr>
          <w:bottom w:val="single" w:sz="12" w:space="1" w:color="auto"/>
        </w:pBdr>
        <w:spacing w:before="100" w:beforeAutospacing="1" w:after="100" w:afterAutospacing="1"/>
        <w:ind w:left="3600" w:firstLine="720"/>
      </w:pPr>
      <w:r>
        <w:t>Chair</w:t>
      </w:r>
    </w:p>
    <w:p w:rsidR="00AB10DB" w:rsidRDefault="00AB10DB" w:rsidP="00D06FF2">
      <w:pPr>
        <w:jc w:val="center"/>
        <w:rPr>
          <w:bCs/>
        </w:rPr>
      </w:pPr>
    </w:p>
    <w:p w:rsidR="00924887" w:rsidRDefault="00924887" w:rsidP="00D06FF2">
      <w:pPr>
        <w:jc w:val="center"/>
        <w:rPr>
          <w:bCs/>
        </w:rPr>
      </w:pPr>
    </w:p>
    <w:p w:rsidR="00924887" w:rsidRPr="00D03ACB" w:rsidRDefault="00924887" w:rsidP="00D06FF2">
      <w:pPr>
        <w:jc w:val="center"/>
        <w:rPr>
          <w:bCs/>
        </w:rPr>
      </w:pPr>
    </w:p>
    <w:p w:rsidR="000922FA" w:rsidRPr="000922FA" w:rsidRDefault="000922FA" w:rsidP="000922FA">
      <w:pPr>
        <w:rPr>
          <w:rFonts w:ascii="Times New Roman" w:hAnsi="Times New Roman" w:cs="Times New Roman"/>
          <w:sz w:val="12"/>
        </w:rPr>
      </w:pPr>
      <w:bookmarkStart w:id="2" w:name="Tagg"/>
    </w:p>
    <w:p w:rsidR="000922FA" w:rsidRPr="000922FA" w:rsidRDefault="000922FA" w:rsidP="000922FA">
      <w:pPr>
        <w:rPr>
          <w:rFonts w:ascii="Times New Roman" w:hAnsi="Times New Roman" w:cs="Times New Roman"/>
          <w:sz w:val="12"/>
        </w:rPr>
      </w:pPr>
      <w:r w:rsidRPr="000922FA">
        <w:rPr>
          <w:rFonts w:ascii="Times New Roman" w:hAnsi="Times New Roman" w:cs="Times New Roman"/>
          <w:sz w:val="12"/>
        </w:rPr>
        <w:t>________________________________________</w:t>
      </w:r>
    </w:p>
    <w:p w:rsidR="00FC1070" w:rsidRPr="000922FA" w:rsidRDefault="000922FA" w:rsidP="000922FA">
      <w:pPr>
        <w:rPr>
          <w:rFonts w:ascii="Times New Roman" w:hAnsi="Times New Roman" w:cs="Times New Roman"/>
          <w:sz w:val="12"/>
        </w:rPr>
      </w:pPr>
      <w:r w:rsidRPr="000922FA">
        <w:rPr>
          <w:rFonts w:ascii="Times New Roman" w:hAnsi="Times New Roman" w:cs="Times New Roman"/>
          <w:sz w:val="12"/>
        </w:rPr>
        <w:t>\\nas2\q\ja\rtf\charters\rtf charter revised 2015-v1.docx</w:t>
      </w:r>
      <w:bookmarkEnd w:id="2"/>
    </w:p>
    <w:sectPr w:rsidR="00FC1070" w:rsidRPr="000922FA" w:rsidSect="00B86708">
      <w:headerReference w:type="even" r:id="rId9"/>
      <w:headerReference w:type="default" r:id="rId10"/>
      <w:footerReference w:type="even" r:id="rId11"/>
      <w:footerReference w:type="default" r:id="rId12"/>
      <w:headerReference w:type="first" r:id="rId13"/>
      <w:footerReference w:type="first" r:id="rId14"/>
      <w:pgSz w:w="12240" w:h="15840" w:code="1"/>
      <w:pgMar w:top="1080" w:right="1440" w:bottom="1440" w:left="144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Jennifer Anziano" w:date="2015-01-28T14:12:00Z" w:initials="JA">
    <w:p w:rsidR="006841D2" w:rsidRDefault="006841D2">
      <w:pPr>
        <w:pStyle w:val="CommentText"/>
      </w:pPr>
      <w:r>
        <w:rPr>
          <w:rStyle w:val="CommentReference"/>
        </w:rPr>
        <w:annotationRef/>
      </w:r>
      <w:r>
        <w:t>A question was raised around whether doing this once every three years is appropriate, or whether it would be better to only turn over 1/3 of the membership every three years. The core interests are:</w:t>
      </w:r>
    </w:p>
    <w:p w:rsidR="006841D2" w:rsidRDefault="006841D2" w:rsidP="006841D2">
      <w:pPr>
        <w:pStyle w:val="CommentText"/>
        <w:numPr>
          <w:ilvl w:val="0"/>
          <w:numId w:val="17"/>
        </w:numPr>
      </w:pPr>
      <w:r>
        <w:t xml:space="preserve"> Ensuring some continuity on the RTF</w:t>
      </w:r>
    </w:p>
    <w:p w:rsidR="006841D2" w:rsidRDefault="006841D2" w:rsidP="006841D2">
      <w:pPr>
        <w:pStyle w:val="CommentText"/>
        <w:numPr>
          <w:ilvl w:val="0"/>
          <w:numId w:val="17"/>
        </w:numPr>
      </w:pPr>
      <w:r>
        <w:t>Ensuring a mix of expertise</w:t>
      </w:r>
    </w:p>
    <w:p w:rsidR="006841D2" w:rsidRDefault="006841D2" w:rsidP="006841D2">
      <w:pPr>
        <w:pStyle w:val="CommentText"/>
        <w:numPr>
          <w:ilvl w:val="0"/>
          <w:numId w:val="17"/>
        </w:numPr>
      </w:pPr>
      <w:r>
        <w:t>Dealing with attrition through the three years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D4F" w:rsidRDefault="00021D4F">
      <w:r>
        <w:separator/>
      </w:r>
    </w:p>
  </w:endnote>
  <w:endnote w:type="continuationSeparator" w:id="0">
    <w:p w:rsidR="00021D4F" w:rsidRDefault="00021D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BY">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559" w:rsidRDefault="003015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559" w:rsidRDefault="003015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887" w:rsidRDefault="00924887" w:rsidP="00B000F4">
    <w:pPr>
      <w:pStyle w:val="Footer"/>
    </w:pPr>
  </w:p>
  <w:p w:rsidR="00100828" w:rsidRPr="00924887" w:rsidRDefault="00100828" w:rsidP="00B000F4">
    <w:pPr>
      <w:pStyle w:val="Footer"/>
    </w:pPr>
  </w:p>
  <w:p w:rsidR="00924887" w:rsidRPr="00924887" w:rsidRDefault="00924887" w:rsidP="00B000F4">
    <w:pPr>
      <w:pStyle w:val="Footer"/>
    </w:pPr>
  </w:p>
  <w:p w:rsidR="00B000F4" w:rsidRDefault="00B000F4" w:rsidP="00B000F4">
    <w:pPr>
      <w:pStyle w:val="Footer"/>
      <w:rPr>
        <w:sz w:val="16"/>
        <w:szCs w:val="16"/>
      </w:rPr>
    </w:pPr>
    <w:r>
      <w:rPr>
        <w:sz w:val="16"/>
        <w:szCs w:val="16"/>
      </w:rPr>
      <w:t xml:space="preserve">851 S.W. Sixth Avenue, Suite 1100                                        </w:t>
    </w:r>
    <w:r w:rsidR="004D11AB">
      <w:rPr>
        <w:sz w:val="16"/>
        <w:szCs w:val="16"/>
      </w:rPr>
      <w:t xml:space="preserve">  </w:t>
    </w:r>
    <w:r>
      <w:rPr>
        <w:b/>
        <w:bCs/>
        <w:sz w:val="16"/>
        <w:szCs w:val="16"/>
      </w:rPr>
      <w:t>Steve Crow</w:t>
    </w:r>
    <w:r>
      <w:rPr>
        <w:sz w:val="16"/>
        <w:szCs w:val="16"/>
      </w:rPr>
      <w:t xml:space="preserve">                                                                    </w:t>
    </w:r>
    <w:r w:rsidR="004D11AB">
      <w:rPr>
        <w:sz w:val="16"/>
        <w:szCs w:val="16"/>
      </w:rPr>
      <w:t xml:space="preserve">  </w:t>
    </w:r>
    <w:r>
      <w:rPr>
        <w:sz w:val="16"/>
        <w:szCs w:val="16"/>
      </w:rPr>
      <w:t>503-222-5161</w:t>
    </w:r>
  </w:p>
  <w:p w:rsidR="00B000F4" w:rsidRDefault="00B000F4" w:rsidP="00B000F4">
    <w:pPr>
      <w:rPr>
        <w:sz w:val="16"/>
        <w:szCs w:val="16"/>
      </w:rPr>
    </w:pPr>
    <w:r>
      <w:rPr>
        <w:sz w:val="16"/>
        <w:szCs w:val="16"/>
      </w:rPr>
      <w:t>Portland, Oregon 97204-1348                                              Executive Director                                                                 800-452-5161</w:t>
    </w:r>
  </w:p>
  <w:p w:rsidR="006B7B6D" w:rsidRPr="00B000F4" w:rsidRDefault="00F13D36" w:rsidP="00B000F4">
    <w:pPr>
      <w:pStyle w:val="Footer"/>
      <w:rPr>
        <w:b/>
        <w:bCs/>
        <w:sz w:val="16"/>
        <w:szCs w:val="16"/>
      </w:rPr>
    </w:pPr>
    <w:hyperlink r:id="rId1" w:history="1">
      <w:r w:rsidR="00B000F4">
        <w:rPr>
          <w:rStyle w:val="Hyperlink"/>
          <w:sz w:val="16"/>
          <w:szCs w:val="16"/>
        </w:rPr>
        <w:t>www.nwcouncil.org</w:t>
      </w:r>
    </w:hyperlink>
    <w:r w:rsidR="00B000F4">
      <w:rPr>
        <w:sz w:val="16"/>
        <w:szCs w:val="16"/>
      </w:rPr>
      <w:t xml:space="preserve">                                                                                                                                                     Fax: 503-820-2370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D4F" w:rsidRDefault="00021D4F">
      <w:r>
        <w:separator/>
      </w:r>
    </w:p>
  </w:footnote>
  <w:footnote w:type="continuationSeparator" w:id="0">
    <w:p w:rsidR="00021D4F" w:rsidRDefault="00021D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559" w:rsidRDefault="00F13D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82236" o:spid="_x0000_s2052" type="#_x0000_t136" style="position:absolute;margin-left:0;margin-top:0;width:471.3pt;height:188.5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559" w:rsidRDefault="00F13D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82237" o:spid="_x0000_s2053" type="#_x0000_t136" style="position:absolute;margin-left:0;margin-top:0;width:471.3pt;height:188.5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559" w:rsidRDefault="00F13D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82235" o:spid="_x0000_s2051" type="#_x0000_t136" style="position:absolute;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32D22"/>
    <w:multiLevelType w:val="multilevel"/>
    <w:tmpl w:val="339AE42C"/>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432"/>
        </w:tabs>
        <w:ind w:left="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1">
    <w:nsid w:val="31C34BAC"/>
    <w:multiLevelType w:val="hybridMultilevel"/>
    <w:tmpl w:val="3B046E0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75B55D9"/>
    <w:multiLevelType w:val="multilevel"/>
    <w:tmpl w:val="2E444A96"/>
    <w:lvl w:ilvl="0">
      <w:start w:val="1"/>
      <w:numFmt w:val="decimal"/>
      <w:lvlText w:val="%1)"/>
      <w:lvlJc w:val="left"/>
      <w:pPr>
        <w:tabs>
          <w:tab w:val="num" w:pos="1080"/>
        </w:tabs>
        <w:ind w:left="1080" w:hanging="360"/>
      </w:pPr>
      <w:rPr>
        <w:rFonts w:hint="default"/>
      </w:rPr>
    </w:lvl>
    <w:lvl w:ilvl="1">
      <w:start w:val="1"/>
      <w:numFmt w:val="upperLetter"/>
      <w:lvlText w:val="%2."/>
      <w:lvlJc w:val="left"/>
      <w:pPr>
        <w:tabs>
          <w:tab w:val="num" w:pos="1800"/>
        </w:tabs>
        <w:ind w:left="1440" w:firstLine="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720"/>
        </w:tabs>
        <w:ind w:left="7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3">
    <w:nsid w:val="4CFB07E2"/>
    <w:multiLevelType w:val="multilevel"/>
    <w:tmpl w:val="BCDCBA7C"/>
    <w:lvl w:ilvl="0">
      <w:start w:val="1"/>
      <w:numFmt w:val="upperRoman"/>
      <w:lvlText w:val="%1."/>
      <w:lvlJc w:val="left"/>
      <w:pPr>
        <w:tabs>
          <w:tab w:val="num" w:pos="432"/>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4D5A3E66"/>
    <w:multiLevelType w:val="multilevel"/>
    <w:tmpl w:val="9EBAEB5C"/>
    <w:lvl w:ilvl="0">
      <w:start w:val="1"/>
      <w:numFmt w:val="upperRoman"/>
      <w:suff w:val="space"/>
      <w:lvlText w:val="%1. "/>
      <w:lvlJc w:val="left"/>
      <w:pPr>
        <w:ind w:left="720" w:firstLine="0"/>
      </w:pPr>
      <w:rPr>
        <w:rFonts w:ascii="Times New Roman" w:hAnsi="Times New Roman" w:hint="default"/>
        <w:b/>
        <w:i w:val="0"/>
        <w:caps w:val="0"/>
        <w:strike w:val="0"/>
        <w:dstrike w:val="0"/>
        <w:outline w:val="0"/>
        <w:shadow w:val="0"/>
        <w:emboss w:val="0"/>
        <w:imprint w:val="0"/>
        <w:vanish w:val="0"/>
        <w:sz w:val="32"/>
        <w:vertAlign w:val="baseline"/>
      </w:rPr>
    </w:lvl>
    <w:lvl w:ilvl="1">
      <w:start w:val="1"/>
      <w:numFmt w:val="upperLetter"/>
      <w:suff w:val="space"/>
      <w:lvlText w:val="%2. "/>
      <w:lvlJc w:val="left"/>
      <w:pPr>
        <w:ind w:left="720" w:firstLine="0"/>
      </w:pPr>
      <w:rPr>
        <w:rFonts w:ascii="Times New Roman" w:hAnsi="Times New Roman" w:hint="default"/>
        <w:b/>
        <w:i w:val="0"/>
        <w:sz w:val="28"/>
      </w:rPr>
    </w:lvl>
    <w:lvl w:ilvl="2">
      <w:start w:val="1"/>
      <w:numFmt w:val="decimal"/>
      <w:suff w:val="space"/>
      <w:lvlText w:val="%3. "/>
      <w:lvlJc w:val="left"/>
      <w:pPr>
        <w:ind w:left="720" w:firstLine="720"/>
      </w:pPr>
      <w:rPr>
        <w:rFonts w:ascii="Times New Roman" w:hAnsi="Times New Roman" w:hint="default"/>
        <w:b/>
        <w:i w:val="0"/>
        <w:sz w:val="26"/>
        <w:u w:val="none"/>
      </w:rPr>
    </w:lvl>
    <w:lvl w:ilvl="3">
      <w:start w:val="1"/>
      <w:numFmt w:val="lowerLetter"/>
      <w:suff w:val="space"/>
      <w:lvlText w:val="%4. "/>
      <w:lvlJc w:val="left"/>
      <w:pPr>
        <w:ind w:left="720" w:firstLine="720"/>
      </w:pPr>
      <w:rPr>
        <w:rFonts w:ascii="Times New Roman" w:hAnsi="Times New Roman" w:hint="default"/>
        <w:b/>
        <w:i w:val="0"/>
        <w:sz w:val="24"/>
      </w:rPr>
    </w:lvl>
    <w:lvl w:ilvl="4">
      <w:start w:val="1"/>
      <w:numFmt w:val="decimal"/>
      <w:suff w:val="space"/>
      <w:lvlText w:val="(%5) "/>
      <w:lvlJc w:val="left"/>
      <w:pPr>
        <w:ind w:left="720" w:firstLine="720"/>
      </w:pPr>
      <w:rPr>
        <w:rFonts w:hint="default"/>
        <w:b/>
        <w:i w:val="0"/>
        <w:sz w:val="24"/>
      </w:rPr>
    </w:lvl>
    <w:lvl w:ilvl="5">
      <w:start w:val="1"/>
      <w:numFmt w:val="lowerLetter"/>
      <w:suff w:val="space"/>
      <w:lvlText w:val="%6) "/>
      <w:lvlJc w:val="left"/>
      <w:pPr>
        <w:ind w:left="720" w:firstLine="720"/>
      </w:pPr>
      <w:rPr>
        <w:rFonts w:hint="default"/>
      </w:rPr>
    </w:lvl>
    <w:lvl w:ilvl="6">
      <w:start w:val="1"/>
      <w:numFmt w:val="lowerRoman"/>
      <w:lvlText w:val="%7)"/>
      <w:lvlJc w:val="left"/>
      <w:pPr>
        <w:tabs>
          <w:tab w:val="num" w:pos="720"/>
        </w:tabs>
        <w:ind w:left="72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5">
    <w:nsid w:val="4F566823"/>
    <w:multiLevelType w:val="multilevel"/>
    <w:tmpl w:val="1F963680"/>
    <w:lvl w:ilvl="0">
      <w:start w:val="1"/>
      <w:numFmt w:val="lowerLetter"/>
      <w:lvlText w:val="%1."/>
      <w:lvlJc w:val="left"/>
      <w:pPr>
        <w:tabs>
          <w:tab w:val="num" w:pos="-1320"/>
        </w:tabs>
        <w:ind w:left="-1320" w:hanging="360"/>
      </w:pPr>
      <w:rPr>
        <w:rFonts w:hint="default"/>
      </w:rPr>
    </w:lvl>
    <w:lvl w:ilvl="1">
      <w:start w:val="1"/>
      <w:numFmt w:val="upperLetter"/>
      <w:lvlText w:val="%2."/>
      <w:lvlJc w:val="left"/>
      <w:pPr>
        <w:tabs>
          <w:tab w:val="num" w:pos="-600"/>
        </w:tabs>
        <w:ind w:left="-960" w:firstLine="0"/>
      </w:pPr>
      <w:rPr>
        <w:rFonts w:hint="default"/>
      </w:rPr>
    </w:lvl>
    <w:lvl w:ilvl="2">
      <w:start w:val="1"/>
      <w:numFmt w:val="decimal"/>
      <w:lvlText w:val="%3."/>
      <w:lvlJc w:val="left"/>
      <w:pPr>
        <w:tabs>
          <w:tab w:val="num" w:pos="120"/>
        </w:tabs>
        <w:ind w:left="-240" w:firstLine="0"/>
      </w:pPr>
      <w:rPr>
        <w:rFonts w:hint="default"/>
      </w:rPr>
    </w:lvl>
    <w:lvl w:ilvl="3">
      <w:start w:val="1"/>
      <w:numFmt w:val="lowerLetter"/>
      <w:lvlText w:val="%4)"/>
      <w:lvlJc w:val="left"/>
      <w:pPr>
        <w:tabs>
          <w:tab w:val="num" w:pos="432"/>
        </w:tabs>
        <w:ind w:left="0" w:firstLine="432"/>
      </w:pPr>
      <w:rPr>
        <w:rFonts w:hint="default"/>
      </w:rPr>
    </w:lvl>
    <w:lvl w:ilvl="4">
      <w:start w:val="1"/>
      <w:numFmt w:val="decimal"/>
      <w:lvlText w:val="(%5)"/>
      <w:lvlJc w:val="left"/>
      <w:pPr>
        <w:tabs>
          <w:tab w:val="num" w:pos="1560"/>
        </w:tabs>
        <w:ind w:left="1200" w:firstLine="0"/>
      </w:pPr>
      <w:rPr>
        <w:rFonts w:hint="default"/>
      </w:rPr>
    </w:lvl>
    <w:lvl w:ilvl="5">
      <w:start w:val="1"/>
      <w:numFmt w:val="lowerLetter"/>
      <w:lvlText w:val="(%6)"/>
      <w:lvlJc w:val="left"/>
      <w:pPr>
        <w:tabs>
          <w:tab w:val="num" w:pos="2280"/>
        </w:tabs>
        <w:ind w:left="1920" w:firstLine="0"/>
      </w:pPr>
      <w:rPr>
        <w:rFonts w:hint="default"/>
      </w:rPr>
    </w:lvl>
    <w:lvl w:ilvl="6">
      <w:start w:val="1"/>
      <w:numFmt w:val="lowerRoman"/>
      <w:lvlText w:val="(%7)"/>
      <w:lvlJc w:val="left"/>
      <w:pPr>
        <w:tabs>
          <w:tab w:val="num" w:pos="3000"/>
        </w:tabs>
        <w:ind w:left="2640" w:firstLine="0"/>
      </w:pPr>
      <w:rPr>
        <w:rFonts w:hint="default"/>
      </w:rPr>
    </w:lvl>
    <w:lvl w:ilvl="7">
      <w:start w:val="1"/>
      <w:numFmt w:val="lowerLetter"/>
      <w:lvlText w:val="(%8)"/>
      <w:lvlJc w:val="left"/>
      <w:pPr>
        <w:tabs>
          <w:tab w:val="num" w:pos="3720"/>
        </w:tabs>
        <w:ind w:left="3360" w:firstLine="0"/>
      </w:pPr>
      <w:rPr>
        <w:rFonts w:hint="default"/>
      </w:rPr>
    </w:lvl>
    <w:lvl w:ilvl="8">
      <w:start w:val="1"/>
      <w:numFmt w:val="lowerRoman"/>
      <w:lvlText w:val="(%9)"/>
      <w:lvlJc w:val="left"/>
      <w:pPr>
        <w:tabs>
          <w:tab w:val="num" w:pos="4440"/>
        </w:tabs>
        <w:ind w:left="4080" w:firstLine="0"/>
      </w:pPr>
      <w:rPr>
        <w:rFonts w:hint="default"/>
      </w:rPr>
    </w:lvl>
  </w:abstractNum>
  <w:abstractNum w:abstractNumId="6">
    <w:nsid w:val="54411535"/>
    <w:multiLevelType w:val="hybridMultilevel"/>
    <w:tmpl w:val="B24A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6F7337"/>
    <w:multiLevelType w:val="multilevel"/>
    <w:tmpl w:val="1F741BAA"/>
    <w:lvl w:ilvl="0">
      <w:start w:val="1"/>
      <w:numFmt w:val="decimal"/>
      <w:lvlText w:val="(%1)"/>
      <w:lvlJc w:val="left"/>
      <w:pPr>
        <w:tabs>
          <w:tab w:val="num" w:pos="720"/>
        </w:tabs>
        <w:ind w:left="720" w:firstLine="0"/>
      </w:pPr>
      <w:rPr>
        <w:rFonts w:hint="default"/>
      </w:rPr>
    </w:lvl>
    <w:lvl w:ilvl="1">
      <w:start w:val="1"/>
      <w:numFmt w:val="decimalZero"/>
      <w:isLgl/>
      <w:lvlText w:val="Section %1.%2"/>
      <w:lvlJc w:val="left"/>
      <w:pPr>
        <w:tabs>
          <w:tab w:val="num" w:pos="1800"/>
        </w:tabs>
        <w:ind w:left="720" w:firstLine="0"/>
      </w:pPr>
      <w:rPr>
        <w:rFonts w:hint="default"/>
      </w:rPr>
    </w:lvl>
    <w:lvl w:ilvl="2">
      <w:start w:val="1"/>
      <w:numFmt w:val="lowerLetter"/>
      <w:lvlText w:val="(%3)"/>
      <w:lvlJc w:val="left"/>
      <w:pPr>
        <w:tabs>
          <w:tab w:val="num" w:pos="1440"/>
        </w:tabs>
        <w:ind w:left="1440" w:hanging="432"/>
      </w:pPr>
      <w:rPr>
        <w:rFonts w:hint="default"/>
      </w:rPr>
    </w:lvl>
    <w:lvl w:ilvl="3">
      <w:start w:val="1"/>
      <w:numFmt w:val="lowerRoman"/>
      <w:lvlText w:val="(%4)"/>
      <w:lvlJc w:val="right"/>
      <w:pPr>
        <w:tabs>
          <w:tab w:val="num" w:pos="1584"/>
        </w:tabs>
        <w:ind w:left="1584" w:hanging="144"/>
      </w:pPr>
      <w:rPr>
        <w:rFonts w:hint="default"/>
      </w:rPr>
    </w:lvl>
    <w:lvl w:ilvl="4">
      <w:start w:val="1"/>
      <w:numFmt w:val="decimal"/>
      <w:lvlText w:val="(%5)"/>
      <w:lvlJc w:val="left"/>
      <w:pPr>
        <w:tabs>
          <w:tab w:val="num" w:pos="720"/>
        </w:tabs>
        <w:ind w:left="720" w:firstLine="0"/>
      </w:pPr>
      <w:rPr>
        <w:rFonts w:hint="default"/>
      </w:rPr>
    </w:lvl>
    <w:lvl w:ilvl="5">
      <w:start w:val="1"/>
      <w:numFmt w:val="lowerLetter"/>
      <w:lvlText w:val="%6)"/>
      <w:lvlJc w:val="left"/>
      <w:pPr>
        <w:tabs>
          <w:tab w:val="num" w:pos="1872"/>
        </w:tabs>
        <w:ind w:left="1872" w:hanging="432"/>
      </w:pPr>
      <w:rPr>
        <w:rFonts w:hint="default"/>
      </w:rPr>
    </w:lvl>
    <w:lvl w:ilvl="6">
      <w:start w:val="1"/>
      <w:numFmt w:val="lowerRoman"/>
      <w:lvlText w:val="%7)"/>
      <w:lvlJc w:val="right"/>
      <w:pPr>
        <w:tabs>
          <w:tab w:val="num" w:pos="2016"/>
        </w:tabs>
        <w:ind w:left="2016" w:hanging="288"/>
      </w:pPr>
      <w:rPr>
        <w:rFonts w:hint="default"/>
      </w:rPr>
    </w:lvl>
    <w:lvl w:ilvl="7">
      <w:start w:val="1"/>
      <w:numFmt w:val="lowerLetter"/>
      <w:lvlText w:val="%8."/>
      <w:lvlJc w:val="left"/>
      <w:pPr>
        <w:tabs>
          <w:tab w:val="num" w:pos="2160"/>
        </w:tabs>
        <w:ind w:left="2160" w:hanging="432"/>
      </w:pPr>
      <w:rPr>
        <w:rFonts w:hint="default"/>
      </w:rPr>
    </w:lvl>
    <w:lvl w:ilvl="8">
      <w:start w:val="1"/>
      <w:numFmt w:val="lowerRoman"/>
      <w:lvlText w:val="%9."/>
      <w:lvlJc w:val="right"/>
      <w:pPr>
        <w:tabs>
          <w:tab w:val="num" w:pos="2304"/>
        </w:tabs>
        <w:ind w:left="2304" w:hanging="144"/>
      </w:pPr>
      <w:rPr>
        <w:rFonts w:hint="default"/>
      </w:rPr>
    </w:lvl>
  </w:abstractNum>
  <w:abstractNum w:abstractNumId="8">
    <w:nsid w:val="61CD319F"/>
    <w:multiLevelType w:val="multilevel"/>
    <w:tmpl w:val="CF72C3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769045C1"/>
    <w:multiLevelType w:val="multilevel"/>
    <w:tmpl w:val="06AAE9EE"/>
    <w:lvl w:ilvl="0">
      <w:start w:val="1"/>
      <w:numFmt w:val="none"/>
      <w:suff w:val="nothing"/>
      <w:lvlText w:val="%1"/>
      <w:lvlJc w:val="left"/>
      <w:pPr>
        <w:ind w:left="216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720"/>
        </w:tabs>
        <w:ind w:left="0" w:firstLine="72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num w:numId="1">
    <w:abstractNumId w:val="3"/>
  </w:num>
  <w:num w:numId="2">
    <w:abstractNumId w:val="0"/>
  </w:num>
  <w:num w:numId="3">
    <w:abstractNumId w:val="9"/>
  </w:num>
  <w:num w:numId="4">
    <w:abstractNumId w:val="5"/>
  </w:num>
  <w:num w:numId="5">
    <w:abstractNumId w:val="7"/>
  </w:num>
  <w:num w:numId="6">
    <w:abstractNumId w:val="2"/>
  </w:num>
  <w:num w:numId="7">
    <w:abstractNumId w:val="4"/>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
  <w:rsids>
    <w:rsidRoot w:val="00FC1070"/>
    <w:rsid w:val="00021D4F"/>
    <w:rsid w:val="0002408A"/>
    <w:rsid w:val="00077B70"/>
    <w:rsid w:val="00080A16"/>
    <w:rsid w:val="000922FA"/>
    <w:rsid w:val="00097078"/>
    <w:rsid w:val="000B7716"/>
    <w:rsid w:val="00100828"/>
    <w:rsid w:val="00107BB1"/>
    <w:rsid w:val="00123711"/>
    <w:rsid w:val="001347E7"/>
    <w:rsid w:val="001478EE"/>
    <w:rsid w:val="001C455A"/>
    <w:rsid w:val="001D1303"/>
    <w:rsid w:val="001E7AA7"/>
    <w:rsid w:val="00264DDB"/>
    <w:rsid w:val="00265427"/>
    <w:rsid w:val="002746FE"/>
    <w:rsid w:val="002C4975"/>
    <w:rsid w:val="002F06AC"/>
    <w:rsid w:val="00301559"/>
    <w:rsid w:val="003613B5"/>
    <w:rsid w:val="00390F5B"/>
    <w:rsid w:val="003E42AE"/>
    <w:rsid w:val="00461245"/>
    <w:rsid w:val="00466DBC"/>
    <w:rsid w:val="004A1FEB"/>
    <w:rsid w:val="004A52E7"/>
    <w:rsid w:val="004D11AB"/>
    <w:rsid w:val="004F765E"/>
    <w:rsid w:val="00522097"/>
    <w:rsid w:val="005577C1"/>
    <w:rsid w:val="005A010D"/>
    <w:rsid w:val="005D5499"/>
    <w:rsid w:val="005D7F4C"/>
    <w:rsid w:val="006841D2"/>
    <w:rsid w:val="006975F3"/>
    <w:rsid w:val="006B7B6D"/>
    <w:rsid w:val="00764D0A"/>
    <w:rsid w:val="00785341"/>
    <w:rsid w:val="0079684C"/>
    <w:rsid w:val="0087109E"/>
    <w:rsid w:val="008835FF"/>
    <w:rsid w:val="008D028C"/>
    <w:rsid w:val="008D1AED"/>
    <w:rsid w:val="00924887"/>
    <w:rsid w:val="009279C2"/>
    <w:rsid w:val="00996002"/>
    <w:rsid w:val="009A5CC0"/>
    <w:rsid w:val="009E23B7"/>
    <w:rsid w:val="009F11FB"/>
    <w:rsid w:val="00A01284"/>
    <w:rsid w:val="00A64071"/>
    <w:rsid w:val="00A92536"/>
    <w:rsid w:val="00AA1498"/>
    <w:rsid w:val="00AB10DB"/>
    <w:rsid w:val="00B000F4"/>
    <w:rsid w:val="00B24418"/>
    <w:rsid w:val="00B84B65"/>
    <w:rsid w:val="00B86708"/>
    <w:rsid w:val="00C12849"/>
    <w:rsid w:val="00C64C77"/>
    <w:rsid w:val="00CA32F5"/>
    <w:rsid w:val="00CD2585"/>
    <w:rsid w:val="00D22F4A"/>
    <w:rsid w:val="00D24FAA"/>
    <w:rsid w:val="00D964C9"/>
    <w:rsid w:val="00DF5C17"/>
    <w:rsid w:val="00E2752D"/>
    <w:rsid w:val="00E76B37"/>
    <w:rsid w:val="00E83A5E"/>
    <w:rsid w:val="00F13D36"/>
    <w:rsid w:val="00F32A60"/>
    <w:rsid w:val="00F72E7F"/>
    <w:rsid w:val="00FC1070"/>
    <w:rsid w:val="00FC2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nhideWhenUsed="1"/>
    <w:lsdException w:name="heading 9" w:semiHidden="1" w:uiPriority="9" w:unhideWhenUsed="1" w:qFormat="1"/>
    <w:lsdException w:name="caption" w:semiHidden="1" w:uiPriority="35"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F5C17"/>
    <w:pPr>
      <w:spacing w:after="0" w:line="240" w:lineRule="auto"/>
    </w:pPr>
    <w:rPr>
      <w:rFonts w:ascii="Arial" w:hAnsi="Arial" w:cs="Arial"/>
      <w:sz w:val="24"/>
      <w:szCs w:val="24"/>
    </w:rPr>
  </w:style>
  <w:style w:type="paragraph" w:styleId="Heading1">
    <w:name w:val="heading 1"/>
    <w:next w:val="Heading1Text"/>
    <w:link w:val="Heading1Char"/>
    <w:uiPriority w:val="1"/>
    <w:qFormat/>
    <w:rsid w:val="00DF5C17"/>
    <w:pPr>
      <w:keepNext/>
      <w:numPr>
        <w:numId w:val="8"/>
      </w:numPr>
      <w:tabs>
        <w:tab w:val="num" w:pos="432"/>
      </w:tabs>
      <w:spacing w:before="240" w:after="0" w:line="240" w:lineRule="auto"/>
      <w:outlineLvl w:val="0"/>
    </w:pPr>
    <w:rPr>
      <w:rFonts w:ascii="Arial" w:eastAsia="Times New Roman" w:hAnsi="Arial" w:cs="Arial"/>
      <w:b/>
      <w:bCs/>
      <w:kern w:val="32"/>
      <w:sz w:val="32"/>
      <w:szCs w:val="32"/>
    </w:rPr>
  </w:style>
  <w:style w:type="paragraph" w:styleId="Heading2">
    <w:name w:val="heading 2"/>
    <w:next w:val="Heading2Text"/>
    <w:link w:val="Heading2Char"/>
    <w:uiPriority w:val="1"/>
    <w:qFormat/>
    <w:rsid w:val="00DF5C17"/>
    <w:pPr>
      <w:keepNext/>
      <w:numPr>
        <w:ilvl w:val="1"/>
        <w:numId w:val="9"/>
      </w:numPr>
      <w:tabs>
        <w:tab w:val="num" w:pos="432"/>
      </w:tabs>
      <w:spacing w:before="240" w:after="0" w:line="240" w:lineRule="auto"/>
      <w:outlineLvl w:val="1"/>
    </w:pPr>
    <w:rPr>
      <w:rFonts w:ascii="Arial" w:eastAsia="Times New Roman" w:hAnsi="Arial" w:cs="Arial"/>
      <w:b/>
      <w:i/>
      <w:iCs/>
      <w:kern w:val="32"/>
      <w:sz w:val="28"/>
      <w:szCs w:val="32"/>
    </w:rPr>
  </w:style>
  <w:style w:type="paragraph" w:styleId="Heading3">
    <w:name w:val="heading 3"/>
    <w:next w:val="Heading3Text"/>
    <w:link w:val="Heading3Char"/>
    <w:uiPriority w:val="1"/>
    <w:qFormat/>
    <w:rsid w:val="00DF5C17"/>
    <w:pPr>
      <w:numPr>
        <w:ilvl w:val="2"/>
        <w:numId w:val="10"/>
      </w:numPr>
      <w:tabs>
        <w:tab w:val="num" w:pos="720"/>
        <w:tab w:val="left" w:pos="1080"/>
      </w:tabs>
      <w:spacing w:before="240" w:after="0" w:line="240" w:lineRule="auto"/>
      <w:ind w:firstLine="720"/>
      <w:outlineLvl w:val="2"/>
    </w:pPr>
    <w:rPr>
      <w:rFonts w:ascii="Arial" w:eastAsia="Times New Roman" w:hAnsi="Arial" w:cs="Arial"/>
      <w:b/>
      <w:bCs/>
      <w:iCs/>
      <w:kern w:val="32"/>
      <w:sz w:val="26"/>
      <w:szCs w:val="32"/>
    </w:rPr>
  </w:style>
  <w:style w:type="paragraph" w:styleId="Heading4">
    <w:name w:val="heading 4"/>
    <w:next w:val="Heading4Text"/>
    <w:link w:val="Heading4Char"/>
    <w:uiPriority w:val="1"/>
    <w:qFormat/>
    <w:rsid w:val="00DF5C17"/>
    <w:pPr>
      <w:keepNext/>
      <w:numPr>
        <w:ilvl w:val="3"/>
        <w:numId w:val="11"/>
      </w:numPr>
      <w:tabs>
        <w:tab w:val="num" w:pos="432"/>
        <w:tab w:val="left" w:pos="1080"/>
      </w:tabs>
      <w:spacing w:before="240" w:after="0" w:line="240" w:lineRule="auto"/>
      <w:ind w:firstLine="432"/>
      <w:outlineLvl w:val="3"/>
    </w:pPr>
    <w:rPr>
      <w:rFonts w:ascii="Arial" w:eastAsia="Times New Roman" w:hAnsi="Arial" w:cs="Arial"/>
      <w:b/>
      <w:bCs/>
      <w:iCs/>
      <w:kern w:val="32"/>
      <w:sz w:val="24"/>
      <w:szCs w:val="32"/>
    </w:rPr>
  </w:style>
  <w:style w:type="paragraph" w:styleId="Heading5">
    <w:name w:val="heading 5"/>
    <w:next w:val="Heading5Text"/>
    <w:link w:val="Heading5Char"/>
    <w:uiPriority w:val="1"/>
    <w:qFormat/>
    <w:rsid w:val="00DF5C17"/>
    <w:pPr>
      <w:keepNext/>
      <w:tabs>
        <w:tab w:val="num" w:pos="720"/>
        <w:tab w:val="left" w:pos="1080"/>
      </w:tabs>
      <w:spacing w:before="240" w:after="0" w:line="240" w:lineRule="auto"/>
      <w:ind w:left="720" w:hanging="720"/>
      <w:outlineLvl w:val="4"/>
    </w:pPr>
    <w:rPr>
      <w:rFonts w:ascii="Arial" w:eastAsia="Times New Roman" w:hAnsi="Arial" w:cs="Arial"/>
      <w:b/>
      <w:bCs/>
      <w:iCs/>
      <w:kern w:val="32"/>
      <w:sz w:val="24"/>
      <w:szCs w:val="32"/>
    </w:rPr>
  </w:style>
  <w:style w:type="paragraph" w:styleId="Heading6">
    <w:name w:val="heading 6"/>
    <w:next w:val="Heading6Text"/>
    <w:link w:val="Heading6Char"/>
    <w:uiPriority w:val="1"/>
    <w:qFormat/>
    <w:rsid w:val="00DF5C17"/>
    <w:pPr>
      <w:keepNext/>
      <w:numPr>
        <w:ilvl w:val="5"/>
        <w:numId w:val="13"/>
      </w:numPr>
      <w:tabs>
        <w:tab w:val="num" w:pos="720"/>
      </w:tabs>
      <w:spacing w:before="240" w:after="0" w:line="240" w:lineRule="auto"/>
      <w:ind w:left="720"/>
      <w:outlineLvl w:val="5"/>
    </w:pPr>
    <w:rPr>
      <w:rFonts w:ascii="Arial" w:eastAsia="Times New Roman" w:hAnsi="Arial" w:cs="Arial"/>
      <w:b/>
      <w:iCs/>
      <w:kern w:val="32"/>
      <w:sz w:val="24"/>
      <w:szCs w:val="32"/>
    </w:rPr>
  </w:style>
  <w:style w:type="paragraph" w:styleId="Heading7">
    <w:name w:val="heading 7"/>
    <w:next w:val="Heading7Text"/>
    <w:link w:val="Heading7Char"/>
    <w:uiPriority w:val="1"/>
    <w:qFormat/>
    <w:rsid w:val="00DF5C17"/>
    <w:pPr>
      <w:keepNext/>
      <w:numPr>
        <w:ilvl w:val="6"/>
        <w:numId w:val="14"/>
      </w:numPr>
      <w:tabs>
        <w:tab w:val="num" w:pos="720"/>
        <w:tab w:val="left" w:pos="1080"/>
      </w:tabs>
      <w:spacing w:before="240" w:after="0" w:line="240" w:lineRule="auto"/>
      <w:ind w:left="720"/>
      <w:outlineLvl w:val="6"/>
    </w:pPr>
    <w:rPr>
      <w:rFonts w:ascii="Arial" w:eastAsia="Times New Roman" w:hAnsi="Arial" w:cs="Arial"/>
      <w:b/>
      <w:bCs/>
      <w:iCs/>
      <w:kern w:val="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684C"/>
    <w:pPr>
      <w:tabs>
        <w:tab w:val="center" w:pos="4320"/>
        <w:tab w:val="right" w:pos="8640"/>
      </w:tabs>
    </w:pPr>
  </w:style>
  <w:style w:type="paragraph" w:styleId="Footer">
    <w:name w:val="footer"/>
    <w:basedOn w:val="Normal"/>
    <w:link w:val="FooterChar"/>
    <w:rsid w:val="0079684C"/>
    <w:pPr>
      <w:tabs>
        <w:tab w:val="center" w:pos="4320"/>
        <w:tab w:val="right" w:pos="8640"/>
      </w:tabs>
    </w:pPr>
  </w:style>
  <w:style w:type="character" w:styleId="PageNumber">
    <w:name w:val="page number"/>
    <w:basedOn w:val="DefaultParagraphFont"/>
    <w:rsid w:val="0079684C"/>
  </w:style>
  <w:style w:type="paragraph" w:customStyle="1" w:styleId="-PAGE-">
    <w:name w:val="- PAGE -"/>
    <w:rsid w:val="0079684C"/>
    <w:rPr>
      <w:sz w:val="24"/>
      <w:szCs w:val="24"/>
    </w:rPr>
  </w:style>
  <w:style w:type="character" w:styleId="Hyperlink">
    <w:name w:val="Hyperlink"/>
    <w:basedOn w:val="DefaultParagraphFont"/>
    <w:rsid w:val="0079684C"/>
    <w:rPr>
      <w:color w:val="0000FF"/>
      <w:u w:val="single"/>
    </w:rPr>
  </w:style>
  <w:style w:type="paragraph" w:customStyle="1" w:styleId="sig-eb">
    <w:name w:val="sig-eb"/>
    <w:rsid w:val="0079684C"/>
    <w:rPr>
      <w:sz w:val="24"/>
      <w:szCs w:val="24"/>
    </w:rPr>
  </w:style>
  <w:style w:type="paragraph" w:styleId="BalloonText">
    <w:name w:val="Balloon Text"/>
    <w:basedOn w:val="Normal"/>
    <w:link w:val="BalloonTextChar"/>
    <w:rsid w:val="00A01284"/>
    <w:rPr>
      <w:rFonts w:ascii="Tahoma" w:hAnsi="Tahoma" w:cs="Tahoma"/>
      <w:sz w:val="16"/>
      <w:szCs w:val="16"/>
    </w:rPr>
  </w:style>
  <w:style w:type="character" w:customStyle="1" w:styleId="BalloonTextChar">
    <w:name w:val="Balloon Text Char"/>
    <w:basedOn w:val="DefaultParagraphFont"/>
    <w:link w:val="BalloonText"/>
    <w:rsid w:val="00A01284"/>
    <w:rPr>
      <w:rFonts w:ascii="Tahoma" w:hAnsi="Tahoma" w:cs="Tahoma"/>
      <w:sz w:val="16"/>
      <w:szCs w:val="16"/>
    </w:rPr>
  </w:style>
  <w:style w:type="character" w:customStyle="1" w:styleId="FooterChar">
    <w:name w:val="Footer Char"/>
    <w:basedOn w:val="DefaultParagraphFont"/>
    <w:link w:val="Footer"/>
    <w:rsid w:val="00B000F4"/>
    <w:rPr>
      <w:sz w:val="24"/>
      <w:szCs w:val="24"/>
    </w:rPr>
  </w:style>
  <w:style w:type="paragraph" w:customStyle="1" w:styleId="Heading1Text">
    <w:name w:val="Heading 1 Text"/>
    <w:uiPriority w:val="1"/>
    <w:qFormat/>
    <w:rsid w:val="00DF5C17"/>
    <w:pPr>
      <w:spacing w:before="240" w:after="0" w:line="240" w:lineRule="auto"/>
    </w:pPr>
    <w:rPr>
      <w:rFonts w:ascii="Arial" w:eastAsia="Times New Roman" w:hAnsi="Arial" w:cs="Times New Roman"/>
      <w:sz w:val="24"/>
      <w:szCs w:val="20"/>
      <w:lang w:bidi="he-IL"/>
    </w:rPr>
  </w:style>
  <w:style w:type="paragraph" w:customStyle="1" w:styleId="Heading2Text">
    <w:name w:val="Heading 2 Text"/>
    <w:uiPriority w:val="1"/>
    <w:qFormat/>
    <w:rsid w:val="00DF5C17"/>
    <w:pPr>
      <w:spacing w:before="240" w:after="0" w:line="240" w:lineRule="auto"/>
    </w:pPr>
    <w:rPr>
      <w:rFonts w:ascii="Arial" w:eastAsia="Times New Roman" w:hAnsi="Arial" w:cs="Times New Roman"/>
      <w:sz w:val="24"/>
      <w:szCs w:val="20"/>
      <w:lang w:bidi="he-IL"/>
    </w:rPr>
  </w:style>
  <w:style w:type="paragraph" w:customStyle="1" w:styleId="Heading3Text">
    <w:name w:val="Heading 3 Text"/>
    <w:uiPriority w:val="1"/>
    <w:qFormat/>
    <w:rsid w:val="00DF5C17"/>
    <w:pPr>
      <w:spacing w:before="240" w:after="0" w:line="240" w:lineRule="auto"/>
    </w:pPr>
    <w:rPr>
      <w:rFonts w:ascii="Arial" w:eastAsia="Times New Roman" w:hAnsi="Arial" w:cs="Times New Roman"/>
      <w:sz w:val="24"/>
      <w:szCs w:val="20"/>
      <w:lang w:bidi="he-IL"/>
    </w:rPr>
  </w:style>
  <w:style w:type="paragraph" w:customStyle="1" w:styleId="Heading4Text">
    <w:name w:val="Heading 4 Text"/>
    <w:uiPriority w:val="1"/>
    <w:qFormat/>
    <w:rsid w:val="00DF5C17"/>
    <w:pPr>
      <w:spacing w:before="240" w:after="0" w:line="240" w:lineRule="auto"/>
    </w:pPr>
    <w:rPr>
      <w:rFonts w:ascii="Arial" w:eastAsia="Times New Roman" w:hAnsi="Arial" w:cs="Times New Roman"/>
      <w:sz w:val="24"/>
      <w:szCs w:val="20"/>
      <w:lang w:bidi="he-IL"/>
    </w:rPr>
  </w:style>
  <w:style w:type="paragraph" w:customStyle="1" w:styleId="Heading6Text">
    <w:name w:val="Heading 6 Text"/>
    <w:uiPriority w:val="1"/>
    <w:qFormat/>
    <w:rsid w:val="00DF5C17"/>
    <w:pPr>
      <w:spacing w:before="240" w:after="0" w:line="240" w:lineRule="auto"/>
      <w:ind w:left="720"/>
    </w:pPr>
    <w:rPr>
      <w:rFonts w:ascii="Arial" w:eastAsia="Times New Roman" w:hAnsi="Arial" w:cs="Times New Roman"/>
      <w:sz w:val="24"/>
      <w:szCs w:val="20"/>
      <w:lang w:bidi="he-IL"/>
    </w:rPr>
  </w:style>
  <w:style w:type="paragraph" w:customStyle="1" w:styleId="Heading5Text">
    <w:name w:val="Heading 5 Text"/>
    <w:uiPriority w:val="1"/>
    <w:qFormat/>
    <w:rsid w:val="00DF5C17"/>
    <w:pPr>
      <w:spacing w:before="240" w:after="0" w:line="240" w:lineRule="auto"/>
    </w:pPr>
    <w:rPr>
      <w:rFonts w:ascii="Arial" w:eastAsia="Times New Roman" w:hAnsi="Arial" w:cs="Times New Roman"/>
      <w:sz w:val="24"/>
      <w:szCs w:val="20"/>
      <w:lang w:bidi="he-IL"/>
    </w:rPr>
  </w:style>
  <w:style w:type="paragraph" w:customStyle="1" w:styleId="Heading7Text">
    <w:name w:val="Heading 7 Text"/>
    <w:uiPriority w:val="1"/>
    <w:qFormat/>
    <w:rsid w:val="00DF5C17"/>
    <w:pPr>
      <w:spacing w:before="240" w:after="0" w:line="240" w:lineRule="auto"/>
      <w:ind w:left="720"/>
    </w:pPr>
    <w:rPr>
      <w:rFonts w:ascii="Arial" w:eastAsia="Times New Roman" w:hAnsi="Arial" w:cs="Times New Roman"/>
      <w:sz w:val="24"/>
      <w:szCs w:val="20"/>
      <w:lang w:bidi="he-IL"/>
    </w:rPr>
  </w:style>
  <w:style w:type="character" w:customStyle="1" w:styleId="Heading1Char">
    <w:name w:val="Heading 1 Char"/>
    <w:basedOn w:val="DefaultParagraphFont"/>
    <w:link w:val="Heading1"/>
    <w:uiPriority w:val="1"/>
    <w:rsid w:val="00DF5C17"/>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1"/>
    <w:rsid w:val="00DF5C17"/>
    <w:rPr>
      <w:rFonts w:ascii="Arial" w:eastAsia="Times New Roman" w:hAnsi="Arial" w:cs="Arial"/>
      <w:b/>
      <w:i/>
      <w:iCs/>
      <w:kern w:val="32"/>
      <w:sz w:val="28"/>
      <w:szCs w:val="32"/>
    </w:rPr>
  </w:style>
  <w:style w:type="character" w:customStyle="1" w:styleId="Heading3Char">
    <w:name w:val="Heading 3 Char"/>
    <w:basedOn w:val="DefaultParagraphFont"/>
    <w:link w:val="Heading3"/>
    <w:uiPriority w:val="1"/>
    <w:rsid w:val="00DF5C17"/>
    <w:rPr>
      <w:rFonts w:ascii="Arial" w:eastAsia="Times New Roman" w:hAnsi="Arial" w:cs="Arial"/>
      <w:b/>
      <w:bCs/>
      <w:iCs/>
      <w:kern w:val="32"/>
      <w:sz w:val="26"/>
      <w:szCs w:val="32"/>
    </w:rPr>
  </w:style>
  <w:style w:type="character" w:customStyle="1" w:styleId="Heading4Char">
    <w:name w:val="Heading 4 Char"/>
    <w:basedOn w:val="DefaultParagraphFont"/>
    <w:link w:val="Heading4"/>
    <w:uiPriority w:val="1"/>
    <w:rsid w:val="00DF5C17"/>
    <w:rPr>
      <w:rFonts w:ascii="Arial" w:eastAsia="Times New Roman" w:hAnsi="Arial" w:cs="Arial"/>
      <w:b/>
      <w:bCs/>
      <w:iCs/>
      <w:kern w:val="32"/>
      <w:sz w:val="24"/>
      <w:szCs w:val="32"/>
    </w:rPr>
  </w:style>
  <w:style w:type="character" w:customStyle="1" w:styleId="Heading5Char">
    <w:name w:val="Heading 5 Char"/>
    <w:basedOn w:val="DefaultParagraphFont"/>
    <w:link w:val="Heading5"/>
    <w:uiPriority w:val="1"/>
    <w:rsid w:val="00DF5C17"/>
    <w:rPr>
      <w:rFonts w:ascii="Arial" w:eastAsia="Times New Roman" w:hAnsi="Arial" w:cs="Arial"/>
      <w:b/>
      <w:bCs/>
      <w:iCs/>
      <w:kern w:val="32"/>
      <w:sz w:val="24"/>
      <w:szCs w:val="32"/>
    </w:rPr>
  </w:style>
  <w:style w:type="character" w:customStyle="1" w:styleId="Heading6Char">
    <w:name w:val="Heading 6 Char"/>
    <w:basedOn w:val="DefaultParagraphFont"/>
    <w:link w:val="Heading6"/>
    <w:uiPriority w:val="1"/>
    <w:rsid w:val="00DF5C17"/>
    <w:rPr>
      <w:rFonts w:ascii="Arial" w:eastAsia="Times New Roman" w:hAnsi="Arial" w:cs="Arial"/>
      <w:b/>
      <w:iCs/>
      <w:kern w:val="32"/>
      <w:sz w:val="24"/>
      <w:szCs w:val="32"/>
    </w:rPr>
  </w:style>
  <w:style w:type="character" w:customStyle="1" w:styleId="Heading7Char">
    <w:name w:val="Heading 7 Char"/>
    <w:basedOn w:val="DefaultParagraphFont"/>
    <w:link w:val="Heading7"/>
    <w:uiPriority w:val="1"/>
    <w:rsid w:val="00DF5C17"/>
    <w:rPr>
      <w:rFonts w:ascii="Arial" w:eastAsia="Times New Roman" w:hAnsi="Arial" w:cs="Arial"/>
      <w:b/>
      <w:bCs/>
      <w:iCs/>
      <w:kern w:val="32"/>
      <w:sz w:val="24"/>
      <w:szCs w:val="24"/>
    </w:rPr>
  </w:style>
  <w:style w:type="paragraph" w:styleId="ListParagraph">
    <w:name w:val="List Paragraph"/>
    <w:basedOn w:val="Normal"/>
    <w:uiPriority w:val="99"/>
    <w:qFormat/>
    <w:rsid w:val="00CD2585"/>
    <w:pPr>
      <w:ind w:left="720"/>
      <w:contextualSpacing/>
    </w:pPr>
    <w:rPr>
      <w:rFonts w:ascii="Times New Roman" w:eastAsia="Times New Roman" w:hAnsi="Times New Roman" w:cs="Times New Roman"/>
    </w:rPr>
  </w:style>
  <w:style w:type="character" w:styleId="CommentReference">
    <w:name w:val="annotation reference"/>
    <w:basedOn w:val="DefaultParagraphFont"/>
    <w:rsid w:val="006841D2"/>
    <w:rPr>
      <w:sz w:val="16"/>
      <w:szCs w:val="16"/>
    </w:rPr>
  </w:style>
  <w:style w:type="paragraph" w:styleId="CommentText">
    <w:name w:val="annotation text"/>
    <w:basedOn w:val="Normal"/>
    <w:link w:val="CommentTextChar"/>
    <w:rsid w:val="006841D2"/>
    <w:rPr>
      <w:sz w:val="20"/>
      <w:szCs w:val="20"/>
    </w:rPr>
  </w:style>
  <w:style w:type="character" w:customStyle="1" w:styleId="CommentTextChar">
    <w:name w:val="Comment Text Char"/>
    <w:basedOn w:val="DefaultParagraphFont"/>
    <w:link w:val="CommentText"/>
    <w:rsid w:val="006841D2"/>
    <w:rPr>
      <w:rFonts w:ascii="Arial" w:hAnsi="Arial" w:cs="Arial"/>
      <w:sz w:val="20"/>
      <w:szCs w:val="20"/>
    </w:rPr>
  </w:style>
  <w:style w:type="paragraph" w:styleId="CommentSubject">
    <w:name w:val="annotation subject"/>
    <w:basedOn w:val="CommentText"/>
    <w:next w:val="CommentText"/>
    <w:link w:val="CommentSubjectChar"/>
    <w:rsid w:val="006841D2"/>
    <w:rPr>
      <w:b/>
      <w:bCs/>
    </w:rPr>
  </w:style>
  <w:style w:type="character" w:customStyle="1" w:styleId="CommentSubjectChar">
    <w:name w:val="Comment Subject Char"/>
    <w:basedOn w:val="CommentTextChar"/>
    <w:link w:val="CommentSubject"/>
    <w:rsid w:val="006841D2"/>
    <w:rPr>
      <w:b/>
      <w:bCs/>
    </w:rPr>
  </w:style>
</w:styles>
</file>

<file path=word/webSettings.xml><?xml version="1.0" encoding="utf-8"?>
<w:webSettings xmlns:r="http://schemas.openxmlformats.org/officeDocument/2006/relationships" xmlns:w="http://schemas.openxmlformats.org/wordprocessingml/2006/main">
  <w:divs>
    <w:div w:id="1116826903">
      <w:bodyDiv w:val="1"/>
      <w:marLeft w:val="0"/>
      <w:marRight w:val="0"/>
      <w:marTop w:val="0"/>
      <w:marBottom w:val="0"/>
      <w:divBdr>
        <w:top w:val="none" w:sz="0" w:space="0" w:color="auto"/>
        <w:left w:val="none" w:sz="0" w:space="0" w:color="auto"/>
        <w:bottom w:val="none" w:sz="0" w:space="0" w:color="auto"/>
        <w:right w:val="none" w:sz="0" w:space="0" w:color="auto"/>
      </w:divBdr>
    </w:div>
    <w:div w:id="1180971715">
      <w:bodyDiv w:val="1"/>
      <w:marLeft w:val="0"/>
      <w:marRight w:val="0"/>
      <w:marTop w:val="0"/>
      <w:marBottom w:val="0"/>
      <w:divBdr>
        <w:top w:val="none" w:sz="0" w:space="0" w:color="auto"/>
        <w:left w:val="none" w:sz="0" w:space="0" w:color="auto"/>
        <w:bottom w:val="none" w:sz="0" w:space="0" w:color="auto"/>
        <w:right w:val="none" w:sz="0" w:space="0" w:color="auto"/>
      </w:divBdr>
    </w:div>
    <w:div w:id="171765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nwcounc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MSOffice\Templates\NWCouncil\lt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ltrHead.dotx</Template>
  <TotalTime>12</TotalTime>
  <Pages>5</Pages>
  <Words>1744</Words>
  <Characters>9658</Characters>
  <Application>Microsoft Office Word</Application>
  <DocSecurity>0</DocSecurity>
  <Lines>209</Lines>
  <Paragraphs>87</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11315</CharactersWithSpaces>
  <SharedDoc>false</SharedDoc>
  <HLinks>
    <vt:vector size="6" baseType="variant">
      <vt:variant>
        <vt:i4>5505043</vt:i4>
      </vt:variant>
      <vt:variant>
        <vt:i4>0</vt:i4>
      </vt:variant>
      <vt:variant>
        <vt:i4>0</vt:i4>
      </vt:variant>
      <vt:variant>
        <vt:i4>5</vt:i4>
      </vt:variant>
      <vt:variant>
        <vt:lpwstr>http://www.nwcouncil.org/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Anziano</dc:creator>
  <cp:lastModifiedBy>Jennifer Anziano</cp:lastModifiedBy>
  <cp:revision>8</cp:revision>
  <cp:lastPrinted>2015-01-15T16:18:00Z</cp:lastPrinted>
  <dcterms:created xsi:type="dcterms:W3CDTF">2015-01-15T19:55:00Z</dcterms:created>
  <dcterms:modified xsi:type="dcterms:W3CDTF">2015-01-28T22:12:00Z</dcterms:modified>
</cp:coreProperties>
</file>